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E2F0E" w14:textId="77777777" w:rsidR="008808A9" w:rsidRDefault="007E265B">
      <w:pPr>
        <w:spacing w:after="0" w:line="240" w:lineRule="auto"/>
        <w:ind w:left="5954"/>
        <w:jc w:val="right"/>
        <w:outlineLvl w:val="0"/>
        <w:rPr>
          <w:rFonts w:ascii="Times New Roman" w:hAnsi="Times New Roman"/>
          <w:sz w:val="26"/>
          <w:szCs w:val="26"/>
        </w:rPr>
      </w:pPr>
      <w:r>
        <w:rPr>
          <w:rFonts w:ascii="Times New Roman" w:hAnsi="Times New Roman"/>
          <w:sz w:val="26"/>
          <w:szCs w:val="26"/>
        </w:rPr>
        <w:t>Приложение</w:t>
      </w:r>
    </w:p>
    <w:p w14:paraId="781FE6AD" w14:textId="77777777" w:rsidR="008808A9" w:rsidRDefault="007E265B">
      <w:pPr>
        <w:spacing w:after="0" w:line="240" w:lineRule="auto"/>
        <w:ind w:left="5387"/>
        <w:jc w:val="right"/>
        <w:outlineLvl w:val="0"/>
        <w:rPr>
          <w:rFonts w:ascii="Times New Roman" w:hAnsi="Times New Roman"/>
          <w:sz w:val="26"/>
          <w:szCs w:val="26"/>
        </w:rPr>
      </w:pPr>
      <w:r>
        <w:rPr>
          <w:rFonts w:ascii="Times New Roman" w:hAnsi="Times New Roman"/>
          <w:sz w:val="26"/>
          <w:szCs w:val="26"/>
        </w:rPr>
        <w:t xml:space="preserve">к решению Думы города Покачи </w:t>
      </w:r>
    </w:p>
    <w:p w14:paraId="7AE17CB3" w14:textId="77777777" w:rsidR="008808A9" w:rsidRDefault="007E265B">
      <w:pPr>
        <w:spacing w:after="0" w:line="240" w:lineRule="auto"/>
        <w:ind w:left="5954"/>
        <w:jc w:val="right"/>
        <w:outlineLvl w:val="0"/>
        <w:rPr>
          <w:rFonts w:ascii="Times New Roman" w:hAnsi="Times New Roman"/>
          <w:sz w:val="26"/>
          <w:szCs w:val="26"/>
        </w:rPr>
      </w:pPr>
      <w:r>
        <w:rPr>
          <w:rFonts w:ascii="Times New Roman" w:hAnsi="Times New Roman"/>
          <w:sz w:val="26"/>
          <w:szCs w:val="26"/>
        </w:rPr>
        <w:t>от ___________№_____</w:t>
      </w:r>
    </w:p>
    <w:p w14:paraId="3779C78E" w14:textId="77777777" w:rsidR="008808A9" w:rsidRDefault="008808A9">
      <w:pPr>
        <w:spacing w:after="0" w:line="240" w:lineRule="auto"/>
        <w:jc w:val="center"/>
        <w:outlineLvl w:val="0"/>
        <w:rPr>
          <w:rFonts w:ascii="Times New Roman" w:hAnsi="Times New Roman"/>
          <w:b/>
          <w:sz w:val="26"/>
          <w:szCs w:val="26"/>
        </w:rPr>
      </w:pPr>
    </w:p>
    <w:p w14:paraId="55E9550C" w14:textId="77777777" w:rsidR="008808A9" w:rsidRDefault="007E265B">
      <w:pPr>
        <w:spacing w:after="0" w:line="240" w:lineRule="auto"/>
        <w:jc w:val="center"/>
        <w:outlineLvl w:val="0"/>
        <w:rPr>
          <w:rFonts w:ascii="Times New Roman" w:hAnsi="Times New Roman"/>
          <w:b/>
          <w:sz w:val="26"/>
          <w:szCs w:val="26"/>
        </w:rPr>
      </w:pPr>
      <w:r>
        <w:rPr>
          <w:rFonts w:ascii="Times New Roman" w:hAnsi="Times New Roman"/>
          <w:b/>
          <w:sz w:val="26"/>
          <w:szCs w:val="26"/>
        </w:rPr>
        <w:t>Аналитическая записка об оценке эффективности налоговых расходов муниципального образования город Покачи за 2023 год</w:t>
      </w:r>
    </w:p>
    <w:p w14:paraId="73708B9E" w14:textId="77777777" w:rsidR="008808A9" w:rsidRDefault="008808A9">
      <w:pPr>
        <w:spacing w:after="0" w:line="240" w:lineRule="auto"/>
        <w:ind w:firstLine="709"/>
        <w:jc w:val="both"/>
        <w:outlineLvl w:val="0"/>
        <w:rPr>
          <w:rFonts w:ascii="Times New Roman" w:hAnsi="Times New Roman"/>
          <w:b/>
          <w:sz w:val="26"/>
          <w:szCs w:val="26"/>
        </w:rPr>
      </w:pPr>
    </w:p>
    <w:p w14:paraId="3FA9199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xml:space="preserve">Оценка эффективности предоставленных налоговых </w:t>
      </w:r>
      <w:r>
        <w:rPr>
          <w:rFonts w:ascii="Times New Roman" w:hAnsi="Times New Roman"/>
          <w:sz w:val="26"/>
          <w:szCs w:val="26"/>
        </w:rPr>
        <w:t xml:space="preserve">расходов муниципального образования город Покачи (далее – оценка эффективности налоговых расходов) за 2023 год проведена в соответствии с </w:t>
      </w:r>
      <w:hyperlink r:id="rId7" w:history="1">
        <w:r>
          <w:rPr>
            <w:rFonts w:ascii="Times New Roman" w:hAnsi="Times New Roman"/>
            <w:sz w:val="26"/>
            <w:szCs w:val="26"/>
          </w:rPr>
          <w:t>Порядком</w:t>
        </w:r>
      </w:hyperlink>
      <w:r>
        <w:rPr>
          <w:rFonts w:ascii="Times New Roman" w:hAnsi="Times New Roman"/>
          <w:sz w:val="26"/>
          <w:szCs w:val="26"/>
        </w:rPr>
        <w:t xml:space="preserve"> формирования перечня и оценки налоговых расходов муниципального образования город Покачи, утвержденным постановлением администрации города Покачи от 20.08.2020 №679 (далее – Порядок).</w:t>
      </w:r>
    </w:p>
    <w:p w14:paraId="5546C28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Оценка эффективности налоговых расходов проведена на основе комплекса мероприятий, позволяющих сделать вывод о целесообразности и результативности предоставления налогоплательщикам налоговых льгот, пониженных налоговых ставок и иных преференций по налогам исходя из целевых характеристик налогового расхода и направлены на оптимизацию перечня налоговых преференций и на обеспечение оптимального выбора объектов для создания возможности поддержки отдельных категорий налогоплательщиков.</w:t>
      </w:r>
    </w:p>
    <w:p w14:paraId="16A2136F"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Перечень налоговых расходов города Покачи на 2023 год (далее – Перечень), утвержден приказом комитета финансов администрации города Покачи от 24.10.2023 № 31 в соответствии с Порядком и размещен на официальном сайте администрации города Покачи в разделе Бюджет для граждан/Налоги/Льготы по налогам/Оценка эффективности налоговых расходов https://budjet-dlya-grajdan.admpokachi.ru/nalogi/lgoty-po-nalogam/otsenka-effektivnosti-nalogovykh-lgot/.</w:t>
      </w:r>
    </w:p>
    <w:p w14:paraId="62D040FF"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Утвержденным Перечнем определена принадлежность каждого налогового расхода целям муниципальных программ и (или) направлениям социально-экономической политики города Покачи, а также определены типы налоговых расходов в зависимости от целевой категории (стимулирующие, социальные, технические).</w:t>
      </w:r>
    </w:p>
    <w:p w14:paraId="6A5A4EE6"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В Перечень включено 13 налоговых расходов в виде налоговых льгот, пониженных налоговых ставок и налоговых вычетов, предоставление которых установлено:</w:t>
      </w:r>
    </w:p>
    <w:p w14:paraId="2591CCB6"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Решением Думы города Покачи от 30.05.2018 №33 «О предоставлении льготы по земельному налогу» (далее – решение Думы №33);</w:t>
      </w:r>
    </w:p>
    <w:p w14:paraId="65671EF5"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Решением Думы города Покачи от 21.11.2014 №101 «Об установлении налога на имущество физических лиц на территории города Покачи и определении налоговой базы объектов налогообложения» (далее – решение Думы №101).</w:t>
      </w:r>
    </w:p>
    <w:p w14:paraId="401B89B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Принадлежность налоговых расходов распределилась следующим образом:</w:t>
      </w:r>
    </w:p>
    <w:p w14:paraId="7B7F6D8C"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На достижение целей социально - экономической политики города Покачи, согласно стратегии социально-экономического развития муниципального образования города Покачи на период до 2030 года (далее - Стратегия СЭР), не относящихся к муниципальным программам города Покачи, установлено девять налоговых расходов:</w:t>
      </w:r>
    </w:p>
    <w:p w14:paraId="629A90E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четыре налоговых расхода, в виде льготы по земельному налогу, направлены на концентрацию ресурсов на приоритетных направлениях развития города;</w:t>
      </w:r>
    </w:p>
    <w:p w14:paraId="5EB640FD"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два налоговых расхода, в виде льготы по земельному налогу, направлены на повышение инвестиционной привлекательности города.</w:t>
      </w:r>
    </w:p>
    <w:p w14:paraId="10E81DE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3) три налоговых расхода, в виде льготы по земельному налогу, направлены на создание условий комфортного проживания на территории города.</w:t>
      </w:r>
    </w:p>
    <w:p w14:paraId="33CFE14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На достижение целей муниципальных программ города Покачи установлено четыре налоговых расхода:</w:t>
      </w:r>
    </w:p>
    <w:p w14:paraId="49029A7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два налоговых расхода, в виде сниженных налоговых ставок по налогу на имущество физических лиц, направлены на достижение целей муниципальной программы «Поддержка и развитие малого и среднего предпринимательства, агропромышленного комплекса на территории города Покачи» - создание условий для деятельности субъектов малого и среднего предпринимательств, индивидуальных предпринимателей;</w:t>
      </w:r>
    </w:p>
    <w:p w14:paraId="03ECA51F"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один налоговый расход, в виде льготы по земельному налогу, направлен на достижение целей муниципальной программы «Поддержка социально ориентированных некоммерческих организаций города Покачи» - поддержка социально ориентированных некоммерческих организаций;</w:t>
      </w:r>
    </w:p>
    <w:p w14:paraId="28873A3B"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3) один налоговый расход, в виде льготы по земельному налогу, направлен на достижение целей:</w:t>
      </w:r>
    </w:p>
    <w:p w14:paraId="66D1A41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муниципальной программы «Развитие жилищно-коммунального комплекса и повышение энергетической эффективности в городе Покачи» в части создания условий формирования в границах городского округа разветвленной коммунальной инфраструктуры, способствующей росту экономической активности населения и предпринимательских структур;</w:t>
      </w:r>
    </w:p>
    <w:p w14:paraId="13915BE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муниципальной программы «Обеспечение экологической безопасности на территории города Покачи» в части обеспечения устойчивой безопасной экологической обстановки и сохранение благоприятной окружающей среды в городе Покачи и снижение негативного воздействия на окружающую среду отходов производства и потребления.</w:t>
      </w:r>
    </w:p>
    <w:p w14:paraId="4A7F7A5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Для оценки налоговых расходов использованы следующие исходные данные:</w:t>
      </w:r>
    </w:p>
    <w:p w14:paraId="1784679F"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информация МИФНС России по Ханты-Мансийскому автономному округу – Югре №11 о фискальных характеристиках налоговых расходов за 2023 год, включенных в Перечень;</w:t>
      </w:r>
    </w:p>
    <w:p w14:paraId="4D87EB58" w14:textId="77777777" w:rsidR="008808A9" w:rsidRDefault="007E265B">
      <w:pPr>
        <w:numPr>
          <w:ilvl w:val="0"/>
          <w:numId w:val="18"/>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показатели по поступлениям доходов в Автоматизированной системе «Бюджет»;</w:t>
      </w:r>
    </w:p>
    <w:p w14:paraId="725C6BBA"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bCs/>
          <w:iCs/>
          <w:sz w:val="26"/>
          <w:szCs w:val="26"/>
          <w:lang w:eastAsia="ru-RU"/>
        </w:rPr>
        <w:t>расчеты (уведомления), предоставленные налогоплательщиками, реализующие право на льготу по земельному налогу, в соответствии с нормами п.</w:t>
      </w:r>
      <w:r>
        <w:rPr>
          <w:rFonts w:ascii="Times New Roman" w:hAnsi="Times New Roman"/>
          <w:sz w:val="26"/>
          <w:szCs w:val="26"/>
          <w:lang w:eastAsia="ru-RU"/>
        </w:rPr>
        <w:t xml:space="preserve"> 2 решения Думы № 33;</w:t>
      </w:r>
    </w:p>
    <w:p w14:paraId="5E9DB9D3"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показатели уровня жизни населения города Покачи за отчетный год;</w:t>
      </w:r>
    </w:p>
    <w:p w14:paraId="63EECC36"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отчеты об оценке эффективности налоговых расходов муниципального образования города Покачи, представленные кураторами налоговых расходов;</w:t>
      </w:r>
    </w:p>
    <w:p w14:paraId="5B1D176C"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bCs/>
          <w:iCs/>
          <w:sz w:val="26"/>
          <w:szCs w:val="26"/>
          <w:lang w:eastAsia="ru-RU"/>
        </w:rPr>
        <w:t>отчет о налоговой базе и структуре начислений по местным налогам за 2023 год форма 5-МН.</w:t>
      </w:r>
    </w:p>
    <w:p w14:paraId="061861FB" w14:textId="77777777" w:rsidR="008808A9" w:rsidRDefault="007E265B">
      <w:pPr>
        <w:spacing w:after="0" w:line="240" w:lineRule="auto"/>
        <w:ind w:firstLine="709"/>
        <w:jc w:val="both"/>
        <w:rPr>
          <w:rFonts w:ascii="Times New Roman" w:hAnsi="Times New Roman"/>
          <w:bCs/>
          <w:iCs/>
          <w:sz w:val="26"/>
          <w:szCs w:val="26"/>
          <w:lang w:eastAsia="ru-RU"/>
        </w:rPr>
      </w:pPr>
      <w:r>
        <w:rPr>
          <w:rFonts w:ascii="Times New Roman" w:hAnsi="Times New Roman"/>
          <w:sz w:val="26"/>
          <w:szCs w:val="26"/>
        </w:rPr>
        <w:t>Информация о динамике и структуре налоговых и неналоговых доходов и налоговых расходов за 2023 год к предыдущим периодам отражена в таблице 1.</w:t>
      </w:r>
    </w:p>
    <w:p w14:paraId="70738231" w14:textId="77777777" w:rsidR="008808A9" w:rsidRDefault="007E265B">
      <w:pPr>
        <w:spacing w:after="0" w:line="240" w:lineRule="auto"/>
        <w:ind w:left="851" w:firstLine="709"/>
        <w:jc w:val="right"/>
        <w:rPr>
          <w:rFonts w:ascii="Times New Roman" w:hAnsi="Times New Roman"/>
          <w:bCs/>
          <w:iCs/>
          <w:sz w:val="26"/>
          <w:szCs w:val="26"/>
          <w:lang w:eastAsia="ru-RU"/>
        </w:rPr>
      </w:pPr>
      <w:r>
        <w:rPr>
          <w:rFonts w:ascii="Times New Roman" w:hAnsi="Times New Roman"/>
          <w:bCs/>
          <w:iCs/>
          <w:sz w:val="26"/>
          <w:szCs w:val="26"/>
          <w:lang w:eastAsia="ru-RU"/>
        </w:rPr>
        <w:t>Таблица 1</w:t>
      </w:r>
    </w:p>
    <w:p w14:paraId="1A5691DB" w14:textId="77777777" w:rsidR="008808A9" w:rsidRDefault="007E265B">
      <w:pPr>
        <w:spacing w:after="0" w:line="240" w:lineRule="auto"/>
        <w:ind w:firstLine="709"/>
        <w:jc w:val="center"/>
        <w:rPr>
          <w:rFonts w:ascii="Times New Roman" w:hAnsi="Times New Roman"/>
          <w:sz w:val="26"/>
          <w:szCs w:val="26"/>
        </w:rPr>
      </w:pPr>
      <w:r>
        <w:rPr>
          <w:rFonts w:ascii="Times New Roman" w:hAnsi="Times New Roman"/>
          <w:sz w:val="26"/>
          <w:szCs w:val="26"/>
        </w:rPr>
        <w:t xml:space="preserve">Динамика и структура налоговых и неналоговых доходов и налоговых расходов за 2023 год к предыдущим периодам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536"/>
        <w:gridCol w:w="1418"/>
        <w:gridCol w:w="1559"/>
        <w:gridCol w:w="1418"/>
      </w:tblGrid>
      <w:tr w:rsidR="008808A9" w14:paraId="0DA9DCF2" w14:textId="77777777">
        <w:trPr>
          <w:trHeight w:val="478"/>
        </w:trPr>
        <w:tc>
          <w:tcPr>
            <w:tcW w:w="675" w:type="dxa"/>
            <w:vAlign w:val="center"/>
          </w:tcPr>
          <w:p w14:paraId="0626425F" w14:textId="77777777" w:rsidR="008808A9" w:rsidRDefault="007E265B">
            <w:pPr>
              <w:spacing w:after="0" w:line="240" w:lineRule="auto"/>
              <w:jc w:val="center"/>
              <w:rPr>
                <w:rFonts w:ascii="Times New Roman" w:hAnsi="Times New Roman"/>
              </w:rPr>
            </w:pPr>
            <w:r>
              <w:rPr>
                <w:rFonts w:ascii="Times New Roman" w:hAnsi="Times New Roman"/>
              </w:rPr>
              <w:t>№ п/п</w:t>
            </w:r>
          </w:p>
        </w:tc>
        <w:tc>
          <w:tcPr>
            <w:tcW w:w="4536" w:type="dxa"/>
            <w:vAlign w:val="center"/>
          </w:tcPr>
          <w:p w14:paraId="04CCF8C1" w14:textId="77777777" w:rsidR="008808A9" w:rsidRDefault="007E265B">
            <w:pPr>
              <w:spacing w:after="0" w:line="240" w:lineRule="auto"/>
              <w:jc w:val="center"/>
              <w:rPr>
                <w:rFonts w:ascii="Times New Roman" w:hAnsi="Times New Roman"/>
              </w:rPr>
            </w:pPr>
            <w:r>
              <w:rPr>
                <w:rFonts w:ascii="Times New Roman" w:hAnsi="Times New Roman"/>
              </w:rPr>
              <w:t>Наименование показателей</w:t>
            </w:r>
          </w:p>
        </w:tc>
        <w:tc>
          <w:tcPr>
            <w:tcW w:w="1418" w:type="dxa"/>
            <w:vAlign w:val="center"/>
          </w:tcPr>
          <w:p w14:paraId="466FA71B" w14:textId="77777777" w:rsidR="008808A9" w:rsidRDefault="007E265B">
            <w:pPr>
              <w:spacing w:after="0" w:line="240" w:lineRule="auto"/>
              <w:jc w:val="center"/>
              <w:rPr>
                <w:rFonts w:ascii="Times New Roman" w:hAnsi="Times New Roman"/>
              </w:rPr>
            </w:pPr>
            <w:proofErr w:type="spellStart"/>
            <w:r>
              <w:rPr>
                <w:rFonts w:ascii="Times New Roman" w:hAnsi="Times New Roman"/>
              </w:rPr>
              <w:t>Справочно</w:t>
            </w:r>
            <w:proofErr w:type="spellEnd"/>
            <w:r>
              <w:rPr>
                <w:rFonts w:ascii="Times New Roman" w:hAnsi="Times New Roman"/>
              </w:rPr>
              <w:t>: 2021 год</w:t>
            </w:r>
          </w:p>
        </w:tc>
        <w:tc>
          <w:tcPr>
            <w:tcW w:w="1559" w:type="dxa"/>
            <w:vAlign w:val="center"/>
          </w:tcPr>
          <w:p w14:paraId="446A89FB" w14:textId="77777777" w:rsidR="008808A9" w:rsidRDefault="007E265B">
            <w:pPr>
              <w:spacing w:after="0" w:line="240" w:lineRule="auto"/>
              <w:jc w:val="center"/>
              <w:rPr>
                <w:rFonts w:ascii="Times New Roman" w:hAnsi="Times New Roman"/>
              </w:rPr>
            </w:pPr>
            <w:r>
              <w:rPr>
                <w:rFonts w:ascii="Times New Roman" w:hAnsi="Times New Roman"/>
              </w:rPr>
              <w:t>2022 год</w:t>
            </w:r>
          </w:p>
        </w:tc>
        <w:tc>
          <w:tcPr>
            <w:tcW w:w="1418" w:type="dxa"/>
            <w:vAlign w:val="center"/>
          </w:tcPr>
          <w:p w14:paraId="463C2D7D" w14:textId="77777777" w:rsidR="008808A9" w:rsidRDefault="007E265B">
            <w:pPr>
              <w:spacing w:after="0" w:line="240" w:lineRule="auto"/>
              <w:jc w:val="center"/>
              <w:rPr>
                <w:rFonts w:ascii="Times New Roman" w:hAnsi="Times New Roman"/>
              </w:rPr>
            </w:pPr>
            <w:r>
              <w:rPr>
                <w:rFonts w:ascii="Times New Roman" w:hAnsi="Times New Roman"/>
              </w:rPr>
              <w:t>2023 год</w:t>
            </w:r>
          </w:p>
        </w:tc>
      </w:tr>
      <w:tr w:rsidR="008808A9" w14:paraId="4A85E8D1" w14:textId="77777777">
        <w:tc>
          <w:tcPr>
            <w:tcW w:w="675" w:type="dxa"/>
            <w:vAlign w:val="center"/>
          </w:tcPr>
          <w:p w14:paraId="488DDCCC"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4536" w:type="dxa"/>
            <w:vAlign w:val="center"/>
          </w:tcPr>
          <w:p w14:paraId="055C5062" w14:textId="77777777" w:rsidR="008808A9" w:rsidRDefault="007E265B">
            <w:pPr>
              <w:spacing w:after="0" w:line="240" w:lineRule="auto"/>
              <w:jc w:val="both"/>
              <w:rPr>
                <w:rFonts w:ascii="Times New Roman" w:hAnsi="Times New Roman"/>
              </w:rPr>
            </w:pPr>
            <w:r>
              <w:rPr>
                <w:rFonts w:ascii="Times New Roman" w:hAnsi="Times New Roman"/>
              </w:rPr>
              <w:t xml:space="preserve">Объем налоговых и неналоговых доходов бюджета города Покачи, всего (тыс. руб.) (без учета дополнительного норматива </w:t>
            </w:r>
            <w:r>
              <w:rPr>
                <w:rFonts w:ascii="Times New Roman" w:hAnsi="Times New Roman"/>
              </w:rPr>
              <w:lastRenderedPageBreak/>
              <w:t>отчислений по НДФЛ) (далее – собственные доходы)</w:t>
            </w:r>
          </w:p>
        </w:tc>
        <w:tc>
          <w:tcPr>
            <w:tcW w:w="1418" w:type="dxa"/>
            <w:vAlign w:val="center"/>
          </w:tcPr>
          <w:p w14:paraId="41848403" w14:textId="77777777" w:rsidR="008808A9" w:rsidRDefault="007E265B">
            <w:pPr>
              <w:spacing w:after="0" w:line="240" w:lineRule="auto"/>
              <w:jc w:val="center"/>
              <w:rPr>
                <w:rFonts w:ascii="Times New Roman" w:hAnsi="Times New Roman"/>
              </w:rPr>
            </w:pPr>
            <w:r>
              <w:rPr>
                <w:rFonts w:ascii="Times New Roman" w:hAnsi="Times New Roman"/>
              </w:rPr>
              <w:lastRenderedPageBreak/>
              <w:t>327 689,8</w:t>
            </w:r>
          </w:p>
        </w:tc>
        <w:tc>
          <w:tcPr>
            <w:tcW w:w="1559" w:type="dxa"/>
            <w:vAlign w:val="center"/>
          </w:tcPr>
          <w:p w14:paraId="13C93AB6" w14:textId="77777777" w:rsidR="008808A9" w:rsidRDefault="007E265B">
            <w:pPr>
              <w:spacing w:after="0" w:line="240" w:lineRule="auto"/>
              <w:jc w:val="center"/>
              <w:rPr>
                <w:rFonts w:ascii="Times New Roman" w:hAnsi="Times New Roman"/>
              </w:rPr>
            </w:pPr>
            <w:r>
              <w:rPr>
                <w:rFonts w:ascii="Times New Roman" w:hAnsi="Times New Roman"/>
              </w:rPr>
              <w:t>387 800,9</w:t>
            </w:r>
          </w:p>
        </w:tc>
        <w:tc>
          <w:tcPr>
            <w:tcW w:w="1418" w:type="dxa"/>
            <w:vAlign w:val="center"/>
          </w:tcPr>
          <w:p w14:paraId="29DE26DE" w14:textId="77777777" w:rsidR="008808A9" w:rsidRDefault="007E265B">
            <w:pPr>
              <w:spacing w:after="0" w:line="240" w:lineRule="auto"/>
              <w:jc w:val="center"/>
              <w:rPr>
                <w:rFonts w:ascii="Times New Roman" w:hAnsi="Times New Roman"/>
              </w:rPr>
            </w:pPr>
            <w:r>
              <w:rPr>
                <w:rFonts w:ascii="Times New Roman" w:hAnsi="Times New Roman"/>
              </w:rPr>
              <w:t>423 802,9</w:t>
            </w:r>
          </w:p>
        </w:tc>
      </w:tr>
      <w:tr w:rsidR="008808A9" w14:paraId="7F5C3F5F" w14:textId="77777777">
        <w:tc>
          <w:tcPr>
            <w:tcW w:w="9606" w:type="dxa"/>
            <w:gridSpan w:val="5"/>
            <w:vAlign w:val="center"/>
          </w:tcPr>
          <w:p w14:paraId="0E416F6C" w14:textId="77777777" w:rsidR="008808A9" w:rsidRDefault="007E265B">
            <w:pPr>
              <w:spacing w:after="0" w:line="240" w:lineRule="auto"/>
              <w:jc w:val="both"/>
              <w:rPr>
                <w:rFonts w:ascii="Times New Roman" w:hAnsi="Times New Roman"/>
              </w:rPr>
            </w:pPr>
            <w:r>
              <w:rPr>
                <w:rFonts w:ascii="Times New Roman" w:hAnsi="Times New Roman"/>
              </w:rPr>
              <w:t>Примечание: объем налоговых и неналоговых доходов в 2023 году вырос относительно 2022 года преимущественно за счет роста поступлений от НДФЛ (рост МРОТ, индексация ФОТ)</w:t>
            </w:r>
          </w:p>
        </w:tc>
      </w:tr>
      <w:tr w:rsidR="008808A9" w14:paraId="1B2772BF" w14:textId="77777777">
        <w:tc>
          <w:tcPr>
            <w:tcW w:w="9606" w:type="dxa"/>
            <w:gridSpan w:val="5"/>
            <w:vAlign w:val="center"/>
          </w:tcPr>
          <w:p w14:paraId="10F8281C" w14:textId="77777777" w:rsidR="008808A9" w:rsidRDefault="007E265B">
            <w:pPr>
              <w:spacing w:after="0" w:line="240" w:lineRule="auto"/>
              <w:rPr>
                <w:rFonts w:ascii="Times New Roman" w:hAnsi="Times New Roman"/>
              </w:rPr>
            </w:pPr>
            <w:r>
              <w:rPr>
                <w:rFonts w:ascii="Times New Roman" w:hAnsi="Times New Roman"/>
              </w:rPr>
              <w:t>в том числе:</w:t>
            </w:r>
          </w:p>
        </w:tc>
      </w:tr>
      <w:tr w:rsidR="008808A9" w14:paraId="4C84A7F6" w14:textId="77777777">
        <w:tc>
          <w:tcPr>
            <w:tcW w:w="675" w:type="dxa"/>
            <w:vAlign w:val="center"/>
          </w:tcPr>
          <w:p w14:paraId="5369C22E" w14:textId="77777777" w:rsidR="008808A9" w:rsidRDefault="007E265B">
            <w:pPr>
              <w:spacing w:after="0" w:line="240" w:lineRule="auto"/>
              <w:jc w:val="center"/>
              <w:rPr>
                <w:rFonts w:ascii="Times New Roman" w:hAnsi="Times New Roman"/>
              </w:rPr>
            </w:pPr>
            <w:r>
              <w:rPr>
                <w:rFonts w:ascii="Times New Roman" w:hAnsi="Times New Roman"/>
              </w:rPr>
              <w:t>1.1</w:t>
            </w:r>
          </w:p>
        </w:tc>
        <w:tc>
          <w:tcPr>
            <w:tcW w:w="4536" w:type="dxa"/>
            <w:vAlign w:val="center"/>
          </w:tcPr>
          <w:p w14:paraId="1B4B52C7" w14:textId="77777777" w:rsidR="008808A9" w:rsidRDefault="007E265B">
            <w:pPr>
              <w:spacing w:after="0" w:line="240" w:lineRule="auto"/>
              <w:jc w:val="both"/>
              <w:rPr>
                <w:rFonts w:ascii="Times New Roman" w:hAnsi="Times New Roman"/>
              </w:rPr>
            </w:pPr>
            <w:r>
              <w:rPr>
                <w:rFonts w:ascii="Times New Roman" w:hAnsi="Times New Roman"/>
              </w:rPr>
              <w:t>поступления в бюджет города от уплаты земельного налога (тыс. руб.)</w:t>
            </w:r>
            <w:r>
              <w:rPr>
                <w:rFonts w:ascii="Times New Roman" w:hAnsi="Times New Roman"/>
                <w:rtl/>
              </w:rPr>
              <w:t>.</w:t>
            </w:r>
          </w:p>
        </w:tc>
        <w:tc>
          <w:tcPr>
            <w:tcW w:w="1418" w:type="dxa"/>
            <w:vAlign w:val="center"/>
          </w:tcPr>
          <w:p w14:paraId="33B35DA2" w14:textId="77777777" w:rsidR="008808A9" w:rsidRDefault="007E265B">
            <w:pPr>
              <w:spacing w:after="0" w:line="240" w:lineRule="auto"/>
              <w:jc w:val="center"/>
              <w:rPr>
                <w:rFonts w:ascii="Times New Roman" w:hAnsi="Times New Roman"/>
              </w:rPr>
            </w:pPr>
            <w:r>
              <w:rPr>
                <w:rFonts w:ascii="Times New Roman" w:hAnsi="Times New Roman"/>
              </w:rPr>
              <w:t>7 875,7</w:t>
            </w:r>
          </w:p>
        </w:tc>
        <w:tc>
          <w:tcPr>
            <w:tcW w:w="1559" w:type="dxa"/>
            <w:vAlign w:val="center"/>
          </w:tcPr>
          <w:p w14:paraId="031BD251" w14:textId="77777777" w:rsidR="008808A9" w:rsidRDefault="007E265B">
            <w:pPr>
              <w:spacing w:after="0" w:line="240" w:lineRule="auto"/>
              <w:jc w:val="center"/>
              <w:rPr>
                <w:rFonts w:ascii="Times New Roman" w:hAnsi="Times New Roman"/>
              </w:rPr>
            </w:pPr>
            <w:r>
              <w:rPr>
                <w:rFonts w:ascii="Times New Roman" w:hAnsi="Times New Roman"/>
              </w:rPr>
              <w:t>7 816,0</w:t>
            </w:r>
          </w:p>
        </w:tc>
        <w:tc>
          <w:tcPr>
            <w:tcW w:w="1418" w:type="dxa"/>
            <w:vAlign w:val="center"/>
          </w:tcPr>
          <w:p w14:paraId="5D602552" w14:textId="77777777" w:rsidR="008808A9" w:rsidRDefault="007E265B">
            <w:pPr>
              <w:spacing w:after="0" w:line="240" w:lineRule="auto"/>
              <w:jc w:val="center"/>
              <w:rPr>
                <w:rFonts w:ascii="Times New Roman" w:hAnsi="Times New Roman"/>
              </w:rPr>
            </w:pPr>
            <w:r>
              <w:rPr>
                <w:rFonts w:ascii="Times New Roman" w:hAnsi="Times New Roman"/>
              </w:rPr>
              <w:t>8 729,4</w:t>
            </w:r>
          </w:p>
        </w:tc>
      </w:tr>
      <w:tr w:rsidR="008808A9" w14:paraId="2CFFA9FD" w14:textId="77777777">
        <w:tc>
          <w:tcPr>
            <w:tcW w:w="675" w:type="dxa"/>
            <w:vAlign w:val="center"/>
          </w:tcPr>
          <w:p w14:paraId="182C6BCD" w14:textId="77777777" w:rsidR="008808A9" w:rsidRDefault="007E265B">
            <w:pPr>
              <w:spacing w:after="0" w:line="240" w:lineRule="auto"/>
              <w:jc w:val="center"/>
              <w:rPr>
                <w:rFonts w:ascii="Times New Roman" w:hAnsi="Times New Roman"/>
              </w:rPr>
            </w:pPr>
            <w:r>
              <w:rPr>
                <w:rFonts w:ascii="Times New Roman" w:hAnsi="Times New Roman"/>
              </w:rPr>
              <w:t>1.1.1</w:t>
            </w:r>
          </w:p>
        </w:tc>
        <w:tc>
          <w:tcPr>
            <w:tcW w:w="4536" w:type="dxa"/>
            <w:vAlign w:val="center"/>
          </w:tcPr>
          <w:p w14:paraId="7B304C5E" w14:textId="77777777" w:rsidR="008808A9" w:rsidRDefault="007E265B">
            <w:pPr>
              <w:spacing w:after="0" w:line="240" w:lineRule="auto"/>
              <w:jc w:val="both"/>
              <w:rPr>
                <w:rFonts w:ascii="Times New Roman" w:hAnsi="Times New Roman"/>
              </w:rPr>
            </w:pPr>
            <w:r>
              <w:rPr>
                <w:rFonts w:ascii="Times New Roman" w:hAnsi="Times New Roman"/>
              </w:rPr>
              <w:t>доля поступлений от уплаты земельного налога в общем объеме налоговых и неналоговых доходов бюджета города Покачи (%)</w:t>
            </w:r>
          </w:p>
        </w:tc>
        <w:tc>
          <w:tcPr>
            <w:tcW w:w="1418" w:type="dxa"/>
            <w:vAlign w:val="center"/>
          </w:tcPr>
          <w:p w14:paraId="06EEBB7F" w14:textId="77777777" w:rsidR="008808A9" w:rsidRDefault="007E265B">
            <w:pPr>
              <w:spacing w:after="0" w:line="240" w:lineRule="auto"/>
              <w:jc w:val="center"/>
              <w:rPr>
                <w:rFonts w:ascii="Times New Roman" w:hAnsi="Times New Roman"/>
              </w:rPr>
            </w:pPr>
            <w:r>
              <w:rPr>
                <w:rFonts w:ascii="Times New Roman" w:hAnsi="Times New Roman"/>
              </w:rPr>
              <w:t>2,4</w:t>
            </w:r>
          </w:p>
        </w:tc>
        <w:tc>
          <w:tcPr>
            <w:tcW w:w="1559" w:type="dxa"/>
            <w:vAlign w:val="center"/>
          </w:tcPr>
          <w:p w14:paraId="0F9BA8AB" w14:textId="77777777" w:rsidR="008808A9" w:rsidRDefault="007E265B">
            <w:pPr>
              <w:spacing w:after="0" w:line="240" w:lineRule="auto"/>
              <w:jc w:val="center"/>
              <w:rPr>
                <w:rFonts w:ascii="Times New Roman" w:hAnsi="Times New Roman"/>
              </w:rPr>
            </w:pPr>
            <w:r>
              <w:rPr>
                <w:rFonts w:ascii="Times New Roman" w:hAnsi="Times New Roman"/>
              </w:rPr>
              <w:t>2,0</w:t>
            </w:r>
          </w:p>
        </w:tc>
        <w:tc>
          <w:tcPr>
            <w:tcW w:w="1418" w:type="dxa"/>
            <w:vAlign w:val="center"/>
          </w:tcPr>
          <w:p w14:paraId="61A25E11" w14:textId="77777777" w:rsidR="008808A9" w:rsidRDefault="007E265B">
            <w:pPr>
              <w:spacing w:after="0" w:line="240" w:lineRule="auto"/>
              <w:jc w:val="center"/>
              <w:rPr>
                <w:rFonts w:ascii="Times New Roman" w:hAnsi="Times New Roman"/>
              </w:rPr>
            </w:pPr>
            <w:r>
              <w:rPr>
                <w:rFonts w:ascii="Times New Roman" w:hAnsi="Times New Roman"/>
              </w:rPr>
              <w:t>2,1</w:t>
            </w:r>
          </w:p>
        </w:tc>
      </w:tr>
      <w:tr w:rsidR="008808A9" w14:paraId="2DD9E448" w14:textId="77777777">
        <w:tc>
          <w:tcPr>
            <w:tcW w:w="9606" w:type="dxa"/>
            <w:gridSpan w:val="5"/>
            <w:vAlign w:val="center"/>
          </w:tcPr>
          <w:p w14:paraId="67291364" w14:textId="77777777" w:rsidR="008808A9" w:rsidRDefault="007E265B">
            <w:pPr>
              <w:spacing w:after="0" w:line="240" w:lineRule="auto"/>
              <w:jc w:val="both"/>
              <w:rPr>
                <w:rFonts w:ascii="Times New Roman" w:hAnsi="Times New Roman"/>
              </w:rPr>
            </w:pPr>
            <w:r>
              <w:rPr>
                <w:rFonts w:ascii="Times New Roman" w:hAnsi="Times New Roman"/>
              </w:rPr>
              <w:t>Примечание: рост доли</w:t>
            </w:r>
            <w:r>
              <w:rPr>
                <w:rFonts w:ascii="Times New Roman" w:hAnsi="Times New Roman"/>
              </w:rPr>
              <w:t xml:space="preserve"> доходов от уплаты земельного налога в общем объеме налоговых и неналоговых доходов в 2023 году, относительно 2022 года, сложился за счет увеличения количества объектов налогообложения в следствие действия «гаражной амнистии»</w:t>
            </w:r>
          </w:p>
        </w:tc>
      </w:tr>
      <w:tr w:rsidR="008808A9" w14:paraId="6FFFF5CC" w14:textId="77777777">
        <w:tc>
          <w:tcPr>
            <w:tcW w:w="675" w:type="dxa"/>
            <w:vAlign w:val="center"/>
          </w:tcPr>
          <w:p w14:paraId="1B1768CA" w14:textId="77777777" w:rsidR="008808A9" w:rsidRDefault="007E265B">
            <w:pPr>
              <w:spacing w:after="0" w:line="240" w:lineRule="auto"/>
              <w:jc w:val="center"/>
              <w:rPr>
                <w:rFonts w:ascii="Times New Roman" w:hAnsi="Times New Roman"/>
              </w:rPr>
            </w:pPr>
            <w:r>
              <w:rPr>
                <w:rFonts w:ascii="Times New Roman" w:hAnsi="Times New Roman"/>
              </w:rPr>
              <w:t>1.2</w:t>
            </w:r>
          </w:p>
        </w:tc>
        <w:tc>
          <w:tcPr>
            <w:tcW w:w="4536" w:type="dxa"/>
            <w:vAlign w:val="center"/>
          </w:tcPr>
          <w:p w14:paraId="6C1BBD8F" w14:textId="77777777" w:rsidR="008808A9" w:rsidRDefault="007E265B">
            <w:pPr>
              <w:spacing w:after="0" w:line="240" w:lineRule="auto"/>
              <w:jc w:val="both"/>
              <w:rPr>
                <w:rFonts w:ascii="Times New Roman" w:hAnsi="Times New Roman"/>
              </w:rPr>
            </w:pPr>
            <w:r>
              <w:rPr>
                <w:rFonts w:ascii="Times New Roman" w:hAnsi="Times New Roman"/>
              </w:rPr>
              <w:t>поступление в бюджет города налога на имущество физических лиц (тыс. руб.)</w:t>
            </w:r>
          </w:p>
        </w:tc>
        <w:tc>
          <w:tcPr>
            <w:tcW w:w="1418" w:type="dxa"/>
            <w:vAlign w:val="center"/>
          </w:tcPr>
          <w:p w14:paraId="7F440F48" w14:textId="77777777" w:rsidR="008808A9" w:rsidRDefault="007E265B">
            <w:pPr>
              <w:spacing w:after="0" w:line="240" w:lineRule="auto"/>
              <w:jc w:val="center"/>
              <w:rPr>
                <w:rFonts w:ascii="Times New Roman" w:hAnsi="Times New Roman"/>
              </w:rPr>
            </w:pPr>
            <w:r>
              <w:rPr>
                <w:rFonts w:ascii="Times New Roman" w:hAnsi="Times New Roman"/>
              </w:rPr>
              <w:t>7 763,3</w:t>
            </w:r>
          </w:p>
        </w:tc>
        <w:tc>
          <w:tcPr>
            <w:tcW w:w="1559" w:type="dxa"/>
            <w:vAlign w:val="center"/>
          </w:tcPr>
          <w:p w14:paraId="710B3291" w14:textId="77777777" w:rsidR="008808A9" w:rsidRDefault="007E265B">
            <w:pPr>
              <w:spacing w:after="0" w:line="240" w:lineRule="auto"/>
              <w:jc w:val="center"/>
              <w:rPr>
                <w:rFonts w:ascii="Times New Roman" w:hAnsi="Times New Roman"/>
              </w:rPr>
            </w:pPr>
            <w:r>
              <w:rPr>
                <w:rFonts w:ascii="Times New Roman" w:hAnsi="Times New Roman"/>
              </w:rPr>
              <w:t>9 482,9</w:t>
            </w:r>
          </w:p>
        </w:tc>
        <w:tc>
          <w:tcPr>
            <w:tcW w:w="1418" w:type="dxa"/>
            <w:vAlign w:val="center"/>
          </w:tcPr>
          <w:p w14:paraId="559FD6CA" w14:textId="77777777" w:rsidR="008808A9" w:rsidRDefault="007E265B">
            <w:pPr>
              <w:spacing w:after="0" w:line="240" w:lineRule="auto"/>
              <w:jc w:val="center"/>
              <w:rPr>
                <w:rFonts w:ascii="Times New Roman" w:hAnsi="Times New Roman"/>
              </w:rPr>
            </w:pPr>
            <w:r>
              <w:rPr>
                <w:rFonts w:ascii="Times New Roman" w:hAnsi="Times New Roman"/>
              </w:rPr>
              <w:t>10 245,0</w:t>
            </w:r>
          </w:p>
        </w:tc>
      </w:tr>
      <w:tr w:rsidR="008808A9" w14:paraId="1A02D437" w14:textId="77777777">
        <w:tc>
          <w:tcPr>
            <w:tcW w:w="675" w:type="dxa"/>
            <w:vAlign w:val="center"/>
          </w:tcPr>
          <w:p w14:paraId="49857AF6" w14:textId="77777777" w:rsidR="008808A9" w:rsidRDefault="007E265B">
            <w:pPr>
              <w:spacing w:after="0" w:line="240" w:lineRule="auto"/>
              <w:jc w:val="center"/>
              <w:rPr>
                <w:rFonts w:ascii="Times New Roman" w:hAnsi="Times New Roman"/>
              </w:rPr>
            </w:pPr>
            <w:r>
              <w:rPr>
                <w:rFonts w:ascii="Times New Roman" w:hAnsi="Times New Roman"/>
              </w:rPr>
              <w:t>1.2.1</w:t>
            </w:r>
          </w:p>
        </w:tc>
        <w:tc>
          <w:tcPr>
            <w:tcW w:w="4536" w:type="dxa"/>
            <w:vAlign w:val="center"/>
          </w:tcPr>
          <w:p w14:paraId="20CAFFEB" w14:textId="77777777" w:rsidR="008808A9" w:rsidRDefault="007E265B">
            <w:pPr>
              <w:spacing w:after="0" w:line="240" w:lineRule="auto"/>
              <w:jc w:val="both"/>
              <w:rPr>
                <w:rFonts w:ascii="Times New Roman" w:hAnsi="Times New Roman"/>
              </w:rPr>
            </w:pPr>
            <w:r>
              <w:rPr>
                <w:rFonts w:ascii="Times New Roman" w:hAnsi="Times New Roman"/>
              </w:rPr>
              <w:t>доля поступлений от уплаты налога на имущество физических лиц в общем объеме налоговых и неналоговых доходов бюджета города Покачи (%)</w:t>
            </w:r>
          </w:p>
        </w:tc>
        <w:tc>
          <w:tcPr>
            <w:tcW w:w="1418" w:type="dxa"/>
            <w:vAlign w:val="center"/>
          </w:tcPr>
          <w:p w14:paraId="26C897F7" w14:textId="77777777" w:rsidR="008808A9" w:rsidRDefault="007E265B">
            <w:pPr>
              <w:spacing w:after="0" w:line="240" w:lineRule="auto"/>
              <w:jc w:val="center"/>
              <w:rPr>
                <w:rFonts w:ascii="Times New Roman" w:hAnsi="Times New Roman"/>
              </w:rPr>
            </w:pPr>
            <w:r>
              <w:rPr>
                <w:rFonts w:ascii="Times New Roman" w:hAnsi="Times New Roman"/>
              </w:rPr>
              <w:t>2,4</w:t>
            </w:r>
          </w:p>
        </w:tc>
        <w:tc>
          <w:tcPr>
            <w:tcW w:w="1559" w:type="dxa"/>
            <w:vAlign w:val="center"/>
          </w:tcPr>
          <w:p w14:paraId="787A9E0B" w14:textId="77777777" w:rsidR="008808A9" w:rsidRDefault="007E265B">
            <w:pPr>
              <w:spacing w:after="0" w:line="240" w:lineRule="auto"/>
              <w:jc w:val="center"/>
              <w:rPr>
                <w:rFonts w:ascii="Times New Roman" w:hAnsi="Times New Roman"/>
              </w:rPr>
            </w:pPr>
            <w:r>
              <w:rPr>
                <w:rFonts w:ascii="Times New Roman" w:hAnsi="Times New Roman"/>
              </w:rPr>
              <w:t>3,0</w:t>
            </w:r>
          </w:p>
        </w:tc>
        <w:tc>
          <w:tcPr>
            <w:tcW w:w="1418" w:type="dxa"/>
            <w:vAlign w:val="center"/>
          </w:tcPr>
          <w:p w14:paraId="130DF87F" w14:textId="77777777" w:rsidR="008808A9" w:rsidRDefault="007E265B">
            <w:pPr>
              <w:spacing w:after="0" w:line="240" w:lineRule="auto"/>
              <w:jc w:val="center"/>
              <w:rPr>
                <w:rFonts w:ascii="Times New Roman" w:hAnsi="Times New Roman"/>
              </w:rPr>
            </w:pPr>
            <w:r>
              <w:rPr>
                <w:rFonts w:ascii="Times New Roman" w:hAnsi="Times New Roman"/>
              </w:rPr>
              <w:t>2,4</w:t>
            </w:r>
          </w:p>
        </w:tc>
      </w:tr>
      <w:tr w:rsidR="008808A9" w14:paraId="3D9DEB45" w14:textId="77777777">
        <w:tc>
          <w:tcPr>
            <w:tcW w:w="9606" w:type="dxa"/>
            <w:gridSpan w:val="5"/>
            <w:vAlign w:val="center"/>
          </w:tcPr>
          <w:p w14:paraId="7993FEAB" w14:textId="77777777" w:rsidR="008808A9" w:rsidRDefault="007E265B">
            <w:pPr>
              <w:spacing w:after="0" w:line="240" w:lineRule="auto"/>
              <w:jc w:val="both"/>
              <w:rPr>
                <w:rFonts w:ascii="Times New Roman" w:hAnsi="Times New Roman"/>
              </w:rPr>
            </w:pPr>
            <w:r>
              <w:rPr>
                <w:rFonts w:ascii="Times New Roman" w:hAnsi="Times New Roman"/>
              </w:rPr>
              <w:t xml:space="preserve">Примечание: снижение доли доходов от уплаты налога на имущество физических лиц в общем объеме налоговых и неналоговых доходов в 2023 году, относительно 2022 года, поясняется тем, что совокупный объем доходов в динамике вырос больше, чем динамика роста налога на имущество физических лиц. При этом, рост налога поясняется увеличением налоговой ставки для отдельных объектов с 1,3% на 1,6% и увеличением количества объектов налогообложения в следствие действия «гаражной амнистии» </w:t>
            </w:r>
          </w:p>
        </w:tc>
      </w:tr>
      <w:tr w:rsidR="008808A9" w14:paraId="4C40C374" w14:textId="77777777">
        <w:tc>
          <w:tcPr>
            <w:tcW w:w="675" w:type="dxa"/>
            <w:vAlign w:val="center"/>
          </w:tcPr>
          <w:p w14:paraId="6E57875C" w14:textId="77777777" w:rsidR="008808A9" w:rsidRDefault="007E265B">
            <w:pPr>
              <w:spacing w:after="0" w:line="240" w:lineRule="auto"/>
              <w:jc w:val="center"/>
              <w:rPr>
                <w:rFonts w:ascii="Times New Roman" w:hAnsi="Times New Roman"/>
              </w:rPr>
            </w:pPr>
            <w:r>
              <w:rPr>
                <w:rFonts w:ascii="Times New Roman" w:hAnsi="Times New Roman"/>
              </w:rPr>
              <w:t>2</w:t>
            </w:r>
          </w:p>
        </w:tc>
        <w:tc>
          <w:tcPr>
            <w:tcW w:w="4536" w:type="dxa"/>
            <w:vAlign w:val="center"/>
          </w:tcPr>
          <w:p w14:paraId="2EF0D7B3" w14:textId="77777777" w:rsidR="008808A9" w:rsidRDefault="007E265B">
            <w:pPr>
              <w:spacing w:after="0" w:line="240" w:lineRule="auto"/>
              <w:jc w:val="both"/>
              <w:rPr>
                <w:rFonts w:ascii="Times New Roman" w:hAnsi="Times New Roman"/>
              </w:rPr>
            </w:pPr>
            <w:r>
              <w:rPr>
                <w:rFonts w:ascii="Times New Roman" w:hAnsi="Times New Roman"/>
              </w:rPr>
              <w:t>Объем налоговых расходов всего (выпадающих доходов) (тыс. руб.), в том числе установленных:</w:t>
            </w:r>
          </w:p>
        </w:tc>
        <w:tc>
          <w:tcPr>
            <w:tcW w:w="1418" w:type="dxa"/>
            <w:vAlign w:val="center"/>
          </w:tcPr>
          <w:p w14:paraId="688FAA7E" w14:textId="77777777" w:rsidR="008808A9" w:rsidRDefault="007E265B">
            <w:pPr>
              <w:spacing w:after="0" w:line="240" w:lineRule="auto"/>
              <w:jc w:val="center"/>
              <w:rPr>
                <w:rFonts w:ascii="Times New Roman" w:hAnsi="Times New Roman"/>
              </w:rPr>
            </w:pPr>
            <w:r>
              <w:rPr>
                <w:rFonts w:ascii="Times New Roman" w:hAnsi="Times New Roman"/>
              </w:rPr>
              <w:t>17 870,0</w:t>
            </w:r>
          </w:p>
        </w:tc>
        <w:tc>
          <w:tcPr>
            <w:tcW w:w="1559" w:type="dxa"/>
            <w:vAlign w:val="center"/>
          </w:tcPr>
          <w:p w14:paraId="6A8C9404" w14:textId="77777777" w:rsidR="008808A9" w:rsidRDefault="007E265B">
            <w:pPr>
              <w:spacing w:after="0" w:line="240" w:lineRule="auto"/>
              <w:jc w:val="center"/>
              <w:rPr>
                <w:rFonts w:ascii="Times New Roman" w:hAnsi="Times New Roman"/>
              </w:rPr>
            </w:pPr>
            <w:r>
              <w:rPr>
                <w:rFonts w:ascii="Times New Roman" w:hAnsi="Times New Roman"/>
              </w:rPr>
              <w:t>22 519,0</w:t>
            </w:r>
          </w:p>
        </w:tc>
        <w:tc>
          <w:tcPr>
            <w:tcW w:w="1418" w:type="dxa"/>
            <w:vAlign w:val="center"/>
          </w:tcPr>
          <w:p w14:paraId="2E173B0A" w14:textId="77777777" w:rsidR="008808A9" w:rsidRDefault="007E265B">
            <w:pPr>
              <w:spacing w:after="0" w:line="240" w:lineRule="auto"/>
              <w:jc w:val="center"/>
              <w:rPr>
                <w:rFonts w:ascii="Times New Roman" w:hAnsi="Times New Roman"/>
              </w:rPr>
            </w:pPr>
            <w:r>
              <w:rPr>
                <w:rFonts w:ascii="Times New Roman" w:hAnsi="Times New Roman"/>
              </w:rPr>
              <w:t>17 967,0</w:t>
            </w:r>
          </w:p>
        </w:tc>
      </w:tr>
      <w:tr w:rsidR="008808A9" w14:paraId="241601DD" w14:textId="77777777">
        <w:tc>
          <w:tcPr>
            <w:tcW w:w="675" w:type="dxa"/>
            <w:vAlign w:val="center"/>
          </w:tcPr>
          <w:p w14:paraId="6B97044B" w14:textId="77777777" w:rsidR="008808A9" w:rsidRDefault="007E265B">
            <w:pPr>
              <w:spacing w:after="0" w:line="240" w:lineRule="auto"/>
              <w:jc w:val="center"/>
              <w:rPr>
                <w:rFonts w:ascii="Times New Roman" w:hAnsi="Times New Roman"/>
              </w:rPr>
            </w:pPr>
            <w:r>
              <w:rPr>
                <w:rFonts w:ascii="Times New Roman" w:hAnsi="Times New Roman"/>
              </w:rPr>
              <w:t>2.1</w:t>
            </w:r>
          </w:p>
        </w:tc>
        <w:tc>
          <w:tcPr>
            <w:tcW w:w="4536" w:type="dxa"/>
            <w:vAlign w:val="center"/>
          </w:tcPr>
          <w:p w14:paraId="1B8C9235" w14:textId="77777777" w:rsidR="008808A9" w:rsidRDefault="007E265B">
            <w:pPr>
              <w:spacing w:after="0" w:line="240" w:lineRule="auto"/>
              <w:jc w:val="both"/>
              <w:rPr>
                <w:rFonts w:ascii="Times New Roman" w:hAnsi="Times New Roman"/>
              </w:rPr>
            </w:pPr>
            <w:r>
              <w:rPr>
                <w:rFonts w:ascii="Times New Roman" w:hAnsi="Times New Roman"/>
              </w:rPr>
              <w:t>решением Думы №33</w:t>
            </w:r>
          </w:p>
        </w:tc>
        <w:tc>
          <w:tcPr>
            <w:tcW w:w="1418" w:type="dxa"/>
            <w:vAlign w:val="center"/>
          </w:tcPr>
          <w:p w14:paraId="7AD1B086" w14:textId="77777777" w:rsidR="008808A9" w:rsidRDefault="007E265B">
            <w:pPr>
              <w:spacing w:after="0" w:line="240" w:lineRule="auto"/>
              <w:jc w:val="center"/>
              <w:rPr>
                <w:rFonts w:ascii="Times New Roman" w:hAnsi="Times New Roman"/>
              </w:rPr>
            </w:pPr>
            <w:r>
              <w:rPr>
                <w:rFonts w:ascii="Times New Roman" w:hAnsi="Times New Roman"/>
              </w:rPr>
              <w:t>12 309,0</w:t>
            </w:r>
          </w:p>
        </w:tc>
        <w:tc>
          <w:tcPr>
            <w:tcW w:w="1559" w:type="dxa"/>
            <w:vAlign w:val="center"/>
          </w:tcPr>
          <w:p w14:paraId="596E0A80" w14:textId="77777777" w:rsidR="008808A9" w:rsidRDefault="007E265B">
            <w:pPr>
              <w:spacing w:after="0" w:line="240" w:lineRule="auto"/>
              <w:jc w:val="center"/>
              <w:rPr>
                <w:rFonts w:ascii="Times New Roman" w:hAnsi="Times New Roman"/>
              </w:rPr>
            </w:pPr>
            <w:r>
              <w:rPr>
                <w:rFonts w:ascii="Times New Roman" w:hAnsi="Times New Roman"/>
              </w:rPr>
              <w:t>16 611,0</w:t>
            </w:r>
          </w:p>
        </w:tc>
        <w:tc>
          <w:tcPr>
            <w:tcW w:w="1418" w:type="dxa"/>
            <w:vAlign w:val="center"/>
          </w:tcPr>
          <w:p w14:paraId="6D95BA39" w14:textId="77777777" w:rsidR="008808A9" w:rsidRDefault="007E265B">
            <w:pPr>
              <w:spacing w:after="0" w:line="240" w:lineRule="auto"/>
              <w:jc w:val="center"/>
              <w:rPr>
                <w:rFonts w:ascii="Times New Roman" w:hAnsi="Times New Roman"/>
              </w:rPr>
            </w:pPr>
            <w:r>
              <w:rPr>
                <w:rFonts w:ascii="Times New Roman" w:hAnsi="Times New Roman"/>
              </w:rPr>
              <w:t>10 153,0</w:t>
            </w:r>
          </w:p>
        </w:tc>
      </w:tr>
      <w:tr w:rsidR="008808A9" w14:paraId="61A85975" w14:textId="77777777">
        <w:tc>
          <w:tcPr>
            <w:tcW w:w="675" w:type="dxa"/>
            <w:vAlign w:val="center"/>
          </w:tcPr>
          <w:p w14:paraId="7B523726" w14:textId="77777777" w:rsidR="008808A9" w:rsidRDefault="007E265B">
            <w:pPr>
              <w:spacing w:after="0" w:line="240" w:lineRule="auto"/>
              <w:jc w:val="center"/>
              <w:rPr>
                <w:rFonts w:ascii="Times New Roman" w:hAnsi="Times New Roman"/>
              </w:rPr>
            </w:pPr>
            <w:r>
              <w:rPr>
                <w:rFonts w:ascii="Times New Roman" w:hAnsi="Times New Roman"/>
              </w:rPr>
              <w:t>2.2</w:t>
            </w:r>
          </w:p>
        </w:tc>
        <w:tc>
          <w:tcPr>
            <w:tcW w:w="4536" w:type="dxa"/>
            <w:vAlign w:val="center"/>
          </w:tcPr>
          <w:p w14:paraId="1C1AB208" w14:textId="77777777" w:rsidR="008808A9" w:rsidRDefault="007E265B">
            <w:pPr>
              <w:spacing w:after="0" w:line="240" w:lineRule="auto"/>
              <w:jc w:val="both"/>
              <w:rPr>
                <w:rFonts w:ascii="Times New Roman" w:hAnsi="Times New Roman"/>
              </w:rPr>
            </w:pPr>
            <w:r>
              <w:rPr>
                <w:rFonts w:ascii="Times New Roman" w:hAnsi="Times New Roman"/>
              </w:rPr>
              <w:t>решением Думы №101</w:t>
            </w:r>
          </w:p>
        </w:tc>
        <w:tc>
          <w:tcPr>
            <w:tcW w:w="1418" w:type="dxa"/>
            <w:vAlign w:val="center"/>
          </w:tcPr>
          <w:p w14:paraId="472C8EE2" w14:textId="77777777" w:rsidR="008808A9" w:rsidRDefault="007E265B">
            <w:pPr>
              <w:spacing w:after="0" w:line="240" w:lineRule="auto"/>
              <w:jc w:val="center"/>
              <w:rPr>
                <w:rFonts w:ascii="Times New Roman" w:hAnsi="Times New Roman"/>
              </w:rPr>
            </w:pPr>
            <w:r>
              <w:rPr>
                <w:rFonts w:ascii="Times New Roman" w:hAnsi="Times New Roman"/>
              </w:rPr>
              <w:t>5 561,0</w:t>
            </w:r>
          </w:p>
        </w:tc>
        <w:tc>
          <w:tcPr>
            <w:tcW w:w="1559" w:type="dxa"/>
            <w:vAlign w:val="center"/>
          </w:tcPr>
          <w:p w14:paraId="137253DD"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2407FE02"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67250B18" w14:textId="77777777">
        <w:tc>
          <w:tcPr>
            <w:tcW w:w="675" w:type="dxa"/>
            <w:vAlign w:val="center"/>
          </w:tcPr>
          <w:p w14:paraId="127CC954"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4536" w:type="dxa"/>
            <w:vAlign w:val="center"/>
          </w:tcPr>
          <w:p w14:paraId="58445D9A" w14:textId="77777777" w:rsidR="008808A9" w:rsidRDefault="007E265B">
            <w:pPr>
              <w:spacing w:after="0" w:line="240" w:lineRule="auto"/>
              <w:jc w:val="both"/>
              <w:rPr>
                <w:rFonts w:ascii="Times New Roman" w:hAnsi="Times New Roman"/>
              </w:rPr>
            </w:pPr>
            <w:r>
              <w:rPr>
                <w:rFonts w:ascii="Times New Roman" w:hAnsi="Times New Roman"/>
              </w:rPr>
              <w:t>Доля налоговых расходов к общему объему налоговых и неналоговых доходов бюджета, всего %, в том числе установленных:</w:t>
            </w:r>
          </w:p>
        </w:tc>
        <w:tc>
          <w:tcPr>
            <w:tcW w:w="1418" w:type="dxa"/>
            <w:vAlign w:val="center"/>
          </w:tcPr>
          <w:p w14:paraId="51C7BEBA" w14:textId="77777777" w:rsidR="008808A9" w:rsidRDefault="007E265B">
            <w:pPr>
              <w:spacing w:after="0" w:line="240" w:lineRule="auto"/>
              <w:jc w:val="center"/>
              <w:rPr>
                <w:rFonts w:ascii="Times New Roman" w:hAnsi="Times New Roman"/>
              </w:rPr>
            </w:pPr>
            <w:r>
              <w:rPr>
                <w:rFonts w:ascii="Times New Roman" w:hAnsi="Times New Roman"/>
              </w:rPr>
              <w:t>5,5%</w:t>
            </w:r>
          </w:p>
        </w:tc>
        <w:tc>
          <w:tcPr>
            <w:tcW w:w="1559" w:type="dxa"/>
            <w:vAlign w:val="center"/>
          </w:tcPr>
          <w:p w14:paraId="76ECC0FB" w14:textId="77777777" w:rsidR="008808A9" w:rsidRDefault="007E265B">
            <w:pPr>
              <w:spacing w:after="0" w:line="240" w:lineRule="auto"/>
              <w:jc w:val="center"/>
              <w:rPr>
                <w:rFonts w:ascii="Times New Roman" w:hAnsi="Times New Roman"/>
              </w:rPr>
            </w:pPr>
            <w:r>
              <w:rPr>
                <w:rFonts w:ascii="Times New Roman" w:hAnsi="Times New Roman"/>
              </w:rPr>
              <w:t>5,8%</w:t>
            </w:r>
          </w:p>
        </w:tc>
        <w:tc>
          <w:tcPr>
            <w:tcW w:w="1418" w:type="dxa"/>
            <w:vAlign w:val="center"/>
          </w:tcPr>
          <w:p w14:paraId="73B44E19" w14:textId="77777777" w:rsidR="008808A9" w:rsidRDefault="007E265B">
            <w:pPr>
              <w:spacing w:after="0" w:line="240" w:lineRule="auto"/>
              <w:jc w:val="center"/>
              <w:rPr>
                <w:rFonts w:ascii="Times New Roman" w:hAnsi="Times New Roman"/>
              </w:rPr>
            </w:pPr>
            <w:r>
              <w:rPr>
                <w:rFonts w:ascii="Times New Roman" w:hAnsi="Times New Roman"/>
              </w:rPr>
              <w:t>4,3%</w:t>
            </w:r>
          </w:p>
        </w:tc>
      </w:tr>
      <w:tr w:rsidR="008808A9" w14:paraId="6E53E409" w14:textId="77777777">
        <w:tc>
          <w:tcPr>
            <w:tcW w:w="675" w:type="dxa"/>
            <w:vAlign w:val="center"/>
          </w:tcPr>
          <w:p w14:paraId="132774DC" w14:textId="77777777" w:rsidR="008808A9" w:rsidRDefault="007E265B">
            <w:pPr>
              <w:spacing w:after="0" w:line="240" w:lineRule="auto"/>
              <w:jc w:val="center"/>
              <w:rPr>
                <w:rFonts w:ascii="Times New Roman" w:hAnsi="Times New Roman"/>
              </w:rPr>
            </w:pPr>
            <w:r>
              <w:rPr>
                <w:rFonts w:ascii="Times New Roman" w:hAnsi="Times New Roman"/>
              </w:rPr>
              <w:t>3.1</w:t>
            </w:r>
          </w:p>
        </w:tc>
        <w:tc>
          <w:tcPr>
            <w:tcW w:w="4536" w:type="dxa"/>
            <w:vAlign w:val="center"/>
          </w:tcPr>
          <w:p w14:paraId="6BBAC6EE" w14:textId="77777777" w:rsidR="008808A9" w:rsidRDefault="007E265B">
            <w:pPr>
              <w:spacing w:after="0" w:line="240" w:lineRule="auto"/>
              <w:jc w:val="both"/>
              <w:rPr>
                <w:rFonts w:ascii="Times New Roman" w:hAnsi="Times New Roman"/>
              </w:rPr>
            </w:pPr>
            <w:r>
              <w:rPr>
                <w:rFonts w:ascii="Times New Roman" w:hAnsi="Times New Roman"/>
              </w:rPr>
              <w:t>решением Думы №33</w:t>
            </w:r>
          </w:p>
        </w:tc>
        <w:tc>
          <w:tcPr>
            <w:tcW w:w="1418" w:type="dxa"/>
            <w:vAlign w:val="center"/>
          </w:tcPr>
          <w:p w14:paraId="776E7C56" w14:textId="77777777" w:rsidR="008808A9" w:rsidRDefault="007E265B">
            <w:pPr>
              <w:spacing w:after="0" w:line="240" w:lineRule="auto"/>
              <w:jc w:val="center"/>
              <w:rPr>
                <w:rFonts w:ascii="Times New Roman" w:hAnsi="Times New Roman"/>
              </w:rPr>
            </w:pPr>
            <w:r>
              <w:rPr>
                <w:rFonts w:ascii="Times New Roman" w:hAnsi="Times New Roman"/>
              </w:rPr>
              <w:t>3,8%</w:t>
            </w:r>
          </w:p>
        </w:tc>
        <w:tc>
          <w:tcPr>
            <w:tcW w:w="1559" w:type="dxa"/>
            <w:vAlign w:val="center"/>
          </w:tcPr>
          <w:p w14:paraId="64A4F463" w14:textId="77777777" w:rsidR="008808A9" w:rsidRDefault="007E265B">
            <w:pPr>
              <w:spacing w:after="0" w:line="240" w:lineRule="auto"/>
              <w:jc w:val="center"/>
              <w:rPr>
                <w:rFonts w:ascii="Times New Roman" w:hAnsi="Times New Roman"/>
              </w:rPr>
            </w:pPr>
            <w:r>
              <w:rPr>
                <w:rFonts w:ascii="Times New Roman" w:hAnsi="Times New Roman"/>
              </w:rPr>
              <w:t>4,3%</w:t>
            </w:r>
          </w:p>
        </w:tc>
        <w:tc>
          <w:tcPr>
            <w:tcW w:w="1418" w:type="dxa"/>
            <w:vAlign w:val="center"/>
          </w:tcPr>
          <w:p w14:paraId="274071A1" w14:textId="77777777" w:rsidR="008808A9" w:rsidRDefault="007E265B">
            <w:pPr>
              <w:spacing w:after="0" w:line="240" w:lineRule="auto"/>
              <w:jc w:val="center"/>
              <w:rPr>
                <w:rFonts w:ascii="Times New Roman" w:hAnsi="Times New Roman"/>
              </w:rPr>
            </w:pPr>
            <w:r>
              <w:rPr>
                <w:rFonts w:ascii="Times New Roman" w:hAnsi="Times New Roman"/>
              </w:rPr>
              <w:t>2,4%</w:t>
            </w:r>
          </w:p>
        </w:tc>
      </w:tr>
      <w:tr w:rsidR="008808A9" w14:paraId="0A134E12" w14:textId="77777777">
        <w:tc>
          <w:tcPr>
            <w:tcW w:w="675" w:type="dxa"/>
            <w:vAlign w:val="center"/>
          </w:tcPr>
          <w:p w14:paraId="2360101A" w14:textId="77777777" w:rsidR="008808A9" w:rsidRDefault="007E265B">
            <w:pPr>
              <w:spacing w:after="0" w:line="240" w:lineRule="auto"/>
              <w:jc w:val="center"/>
              <w:rPr>
                <w:rFonts w:ascii="Times New Roman" w:hAnsi="Times New Roman"/>
              </w:rPr>
            </w:pPr>
            <w:r>
              <w:rPr>
                <w:rFonts w:ascii="Times New Roman" w:hAnsi="Times New Roman"/>
              </w:rPr>
              <w:t>3.2</w:t>
            </w:r>
          </w:p>
        </w:tc>
        <w:tc>
          <w:tcPr>
            <w:tcW w:w="4536" w:type="dxa"/>
            <w:vAlign w:val="center"/>
          </w:tcPr>
          <w:p w14:paraId="37567F67" w14:textId="77777777" w:rsidR="008808A9" w:rsidRDefault="007E265B">
            <w:pPr>
              <w:spacing w:after="0" w:line="240" w:lineRule="auto"/>
              <w:jc w:val="both"/>
              <w:rPr>
                <w:rFonts w:ascii="Times New Roman" w:hAnsi="Times New Roman"/>
              </w:rPr>
            </w:pPr>
            <w:r>
              <w:rPr>
                <w:rFonts w:ascii="Times New Roman" w:hAnsi="Times New Roman"/>
              </w:rPr>
              <w:t>решением Думы №101</w:t>
            </w:r>
          </w:p>
        </w:tc>
        <w:tc>
          <w:tcPr>
            <w:tcW w:w="1418" w:type="dxa"/>
            <w:vAlign w:val="center"/>
          </w:tcPr>
          <w:p w14:paraId="0C62509D" w14:textId="77777777" w:rsidR="008808A9" w:rsidRDefault="007E265B">
            <w:pPr>
              <w:spacing w:after="0" w:line="240" w:lineRule="auto"/>
              <w:jc w:val="center"/>
              <w:rPr>
                <w:rFonts w:ascii="Times New Roman" w:hAnsi="Times New Roman"/>
              </w:rPr>
            </w:pPr>
            <w:r>
              <w:rPr>
                <w:rFonts w:ascii="Times New Roman" w:hAnsi="Times New Roman"/>
              </w:rPr>
              <w:t>1,7%</w:t>
            </w:r>
          </w:p>
        </w:tc>
        <w:tc>
          <w:tcPr>
            <w:tcW w:w="1559" w:type="dxa"/>
            <w:vAlign w:val="center"/>
          </w:tcPr>
          <w:p w14:paraId="32BB415F" w14:textId="77777777" w:rsidR="008808A9" w:rsidRDefault="007E265B">
            <w:pPr>
              <w:spacing w:after="0" w:line="240" w:lineRule="auto"/>
              <w:jc w:val="center"/>
              <w:rPr>
                <w:rFonts w:ascii="Times New Roman" w:hAnsi="Times New Roman"/>
              </w:rPr>
            </w:pPr>
            <w:r>
              <w:rPr>
                <w:rFonts w:ascii="Times New Roman" w:hAnsi="Times New Roman"/>
              </w:rPr>
              <w:t>1,5%</w:t>
            </w:r>
          </w:p>
        </w:tc>
        <w:tc>
          <w:tcPr>
            <w:tcW w:w="1418" w:type="dxa"/>
            <w:vAlign w:val="center"/>
          </w:tcPr>
          <w:p w14:paraId="54C7A50A" w14:textId="77777777" w:rsidR="008808A9" w:rsidRDefault="007E265B">
            <w:pPr>
              <w:spacing w:after="0" w:line="240" w:lineRule="auto"/>
              <w:jc w:val="center"/>
              <w:rPr>
                <w:rFonts w:ascii="Times New Roman" w:hAnsi="Times New Roman"/>
              </w:rPr>
            </w:pPr>
            <w:r>
              <w:rPr>
                <w:rFonts w:ascii="Times New Roman" w:hAnsi="Times New Roman"/>
              </w:rPr>
              <w:t>1,9%</w:t>
            </w:r>
          </w:p>
        </w:tc>
      </w:tr>
      <w:tr w:rsidR="008808A9" w14:paraId="177035A2" w14:textId="77777777">
        <w:tc>
          <w:tcPr>
            <w:tcW w:w="9606" w:type="dxa"/>
            <w:gridSpan w:val="5"/>
            <w:vAlign w:val="center"/>
          </w:tcPr>
          <w:p w14:paraId="21A6CF6C" w14:textId="77777777" w:rsidR="008808A9" w:rsidRDefault="007E265B">
            <w:pPr>
              <w:spacing w:after="0" w:line="240" w:lineRule="auto"/>
              <w:jc w:val="both"/>
              <w:rPr>
                <w:rFonts w:ascii="Times New Roman" w:hAnsi="Times New Roman"/>
              </w:rPr>
            </w:pPr>
            <w:r>
              <w:rPr>
                <w:rFonts w:ascii="Times New Roman" w:hAnsi="Times New Roman"/>
              </w:rPr>
              <w:t>Примечание: наибольшую долю</w:t>
            </w:r>
            <w:r>
              <w:rPr>
                <w:rFonts w:ascii="Times New Roman" w:hAnsi="Times New Roman"/>
              </w:rPr>
              <w:t xml:space="preserve"> налоговых расходов составляют льготы, установленные решением Думы №33.</w:t>
            </w:r>
            <w:r>
              <w:t xml:space="preserve"> </w:t>
            </w:r>
            <w:r>
              <w:rPr>
                <w:rFonts w:ascii="Times New Roman" w:hAnsi="Times New Roman"/>
              </w:rPr>
              <w:t xml:space="preserve">При этом, в 2023 году их динамика снизилась за счет уменьшения количества объектов, которые подпадают под льготу </w:t>
            </w:r>
          </w:p>
        </w:tc>
      </w:tr>
    </w:tbl>
    <w:p w14:paraId="46C641B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Согласно данным таблицы видно, что в 2023</w:t>
      </w:r>
      <w:r>
        <w:rPr>
          <w:rFonts w:ascii="Times New Roman" w:hAnsi="Times New Roman"/>
          <w:sz w:val="26"/>
          <w:szCs w:val="26"/>
        </w:rPr>
        <w:t xml:space="preserve"> году поступление налоговых и неналоговых доходов бюджета города Покачи составило 423 802,9 тыс. руб., что в сравнении с 2022 годом увеличилось на 36 002,0 тыс. руб. или на 109,29% (причины обозначены в таблице).</w:t>
      </w:r>
    </w:p>
    <w:p w14:paraId="3ED32C3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Общий объем налоговых расходов в 2023 году составил 17 967,0 тыс. руб. или 4,3% к общей сумме налоговых и неналоговых доходов бюджета города Покачи (без учета дополнительного норматива отчислений по НДФЛ).</w:t>
      </w:r>
    </w:p>
    <w:p w14:paraId="46534E89" w14:textId="77777777" w:rsidR="008808A9" w:rsidRDefault="008808A9">
      <w:pPr>
        <w:spacing w:after="0" w:line="240" w:lineRule="auto"/>
        <w:ind w:firstLine="709"/>
        <w:jc w:val="both"/>
        <w:rPr>
          <w:rFonts w:ascii="Times New Roman" w:hAnsi="Times New Roman"/>
          <w:sz w:val="26"/>
          <w:szCs w:val="26"/>
        </w:rPr>
      </w:pPr>
    </w:p>
    <w:p w14:paraId="04F8A57B"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Структура типов налоговых расходов в зависимости от целевой категории отражена в таблице 2.</w:t>
      </w:r>
    </w:p>
    <w:p w14:paraId="51F10CA4" w14:textId="77777777" w:rsidR="008808A9" w:rsidRDefault="007E265B">
      <w:pPr>
        <w:spacing w:after="0" w:line="240" w:lineRule="auto"/>
        <w:ind w:firstLine="709"/>
        <w:jc w:val="right"/>
        <w:rPr>
          <w:rFonts w:ascii="Times New Roman" w:hAnsi="Times New Roman"/>
          <w:sz w:val="26"/>
          <w:szCs w:val="26"/>
        </w:rPr>
      </w:pPr>
      <w:r>
        <w:rPr>
          <w:rFonts w:ascii="Times New Roman" w:hAnsi="Times New Roman"/>
          <w:sz w:val="26"/>
          <w:szCs w:val="26"/>
        </w:rPr>
        <w:t>Таблица 2.</w:t>
      </w:r>
    </w:p>
    <w:p w14:paraId="277EC8D2" w14:textId="77777777" w:rsidR="008808A9" w:rsidRDefault="007E265B">
      <w:pPr>
        <w:widowControl w:val="0"/>
        <w:spacing w:after="0" w:line="240" w:lineRule="auto"/>
        <w:ind w:firstLine="709"/>
        <w:jc w:val="center"/>
        <w:rPr>
          <w:rFonts w:ascii="Times New Roman" w:hAnsi="Times New Roman"/>
          <w:sz w:val="26"/>
          <w:szCs w:val="26"/>
        </w:rPr>
      </w:pPr>
      <w:r>
        <w:rPr>
          <w:rFonts w:ascii="Times New Roman" w:hAnsi="Times New Roman"/>
          <w:sz w:val="26"/>
          <w:szCs w:val="26"/>
        </w:rPr>
        <w:t>Структура типов налоговых расходов в зависимости от целевой категории</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536"/>
        <w:gridCol w:w="1418"/>
        <w:gridCol w:w="1559"/>
        <w:gridCol w:w="1418"/>
      </w:tblGrid>
      <w:tr w:rsidR="008808A9" w14:paraId="1ACCA276" w14:textId="77777777">
        <w:trPr>
          <w:trHeight w:val="478"/>
        </w:trPr>
        <w:tc>
          <w:tcPr>
            <w:tcW w:w="675" w:type="dxa"/>
            <w:vAlign w:val="center"/>
          </w:tcPr>
          <w:p w14:paraId="45EAE094" w14:textId="77777777" w:rsidR="008808A9" w:rsidRDefault="007E265B">
            <w:pPr>
              <w:spacing w:after="0" w:line="240" w:lineRule="auto"/>
              <w:jc w:val="center"/>
              <w:rPr>
                <w:rFonts w:ascii="Times New Roman" w:hAnsi="Times New Roman"/>
              </w:rPr>
            </w:pPr>
            <w:r>
              <w:rPr>
                <w:rFonts w:ascii="Times New Roman" w:hAnsi="Times New Roman"/>
              </w:rPr>
              <w:t>№ п/п</w:t>
            </w:r>
          </w:p>
        </w:tc>
        <w:tc>
          <w:tcPr>
            <w:tcW w:w="4536" w:type="dxa"/>
            <w:vAlign w:val="center"/>
          </w:tcPr>
          <w:p w14:paraId="5EB661C2" w14:textId="77777777" w:rsidR="008808A9" w:rsidRDefault="007E265B">
            <w:pPr>
              <w:spacing w:after="0" w:line="240" w:lineRule="auto"/>
              <w:jc w:val="center"/>
              <w:rPr>
                <w:rFonts w:ascii="Times New Roman" w:hAnsi="Times New Roman"/>
              </w:rPr>
            </w:pPr>
            <w:r>
              <w:rPr>
                <w:rFonts w:ascii="Times New Roman" w:hAnsi="Times New Roman"/>
              </w:rPr>
              <w:t>Наименование показателей</w:t>
            </w:r>
          </w:p>
        </w:tc>
        <w:tc>
          <w:tcPr>
            <w:tcW w:w="1418" w:type="dxa"/>
            <w:vAlign w:val="center"/>
          </w:tcPr>
          <w:p w14:paraId="15D14112" w14:textId="77777777" w:rsidR="008808A9" w:rsidRDefault="007E265B">
            <w:pPr>
              <w:spacing w:after="0" w:line="240" w:lineRule="auto"/>
              <w:jc w:val="center"/>
              <w:rPr>
                <w:rFonts w:ascii="Times New Roman" w:hAnsi="Times New Roman"/>
              </w:rPr>
            </w:pPr>
            <w:r>
              <w:rPr>
                <w:rFonts w:ascii="Times New Roman" w:hAnsi="Times New Roman"/>
              </w:rPr>
              <w:t>2021 год</w:t>
            </w:r>
          </w:p>
        </w:tc>
        <w:tc>
          <w:tcPr>
            <w:tcW w:w="1559" w:type="dxa"/>
            <w:vAlign w:val="center"/>
          </w:tcPr>
          <w:p w14:paraId="17BA111B" w14:textId="77777777" w:rsidR="008808A9" w:rsidRDefault="007E265B">
            <w:pPr>
              <w:spacing w:after="0" w:line="240" w:lineRule="auto"/>
              <w:jc w:val="center"/>
              <w:rPr>
                <w:rFonts w:ascii="Times New Roman" w:hAnsi="Times New Roman"/>
              </w:rPr>
            </w:pPr>
            <w:r>
              <w:rPr>
                <w:rFonts w:ascii="Times New Roman" w:hAnsi="Times New Roman"/>
              </w:rPr>
              <w:t>2022 год</w:t>
            </w:r>
          </w:p>
        </w:tc>
        <w:tc>
          <w:tcPr>
            <w:tcW w:w="1418" w:type="dxa"/>
            <w:vAlign w:val="center"/>
          </w:tcPr>
          <w:p w14:paraId="582EE9D0" w14:textId="77777777" w:rsidR="008808A9" w:rsidRDefault="007E265B">
            <w:pPr>
              <w:spacing w:after="0" w:line="240" w:lineRule="auto"/>
              <w:jc w:val="center"/>
              <w:rPr>
                <w:rFonts w:ascii="Times New Roman" w:hAnsi="Times New Roman"/>
              </w:rPr>
            </w:pPr>
            <w:r>
              <w:rPr>
                <w:rFonts w:ascii="Times New Roman" w:hAnsi="Times New Roman"/>
                <w:lang w:val="en-US"/>
              </w:rPr>
              <w:t xml:space="preserve">2023 </w:t>
            </w:r>
            <w:r>
              <w:rPr>
                <w:rFonts w:ascii="Times New Roman" w:hAnsi="Times New Roman"/>
              </w:rPr>
              <w:t>год</w:t>
            </w:r>
          </w:p>
        </w:tc>
      </w:tr>
      <w:tr w:rsidR="008808A9" w14:paraId="15BB9FB7" w14:textId="77777777">
        <w:tc>
          <w:tcPr>
            <w:tcW w:w="675" w:type="dxa"/>
            <w:vAlign w:val="center"/>
          </w:tcPr>
          <w:p w14:paraId="378150CD"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4536" w:type="dxa"/>
            <w:vAlign w:val="center"/>
          </w:tcPr>
          <w:p w14:paraId="77058A55" w14:textId="77777777" w:rsidR="008808A9" w:rsidRDefault="007E265B">
            <w:pPr>
              <w:spacing w:after="0" w:line="240" w:lineRule="auto"/>
              <w:jc w:val="both"/>
              <w:rPr>
                <w:rFonts w:ascii="Times New Roman" w:hAnsi="Times New Roman"/>
              </w:rPr>
            </w:pPr>
            <w:r>
              <w:rPr>
                <w:rFonts w:ascii="Times New Roman" w:hAnsi="Times New Roman"/>
              </w:rPr>
              <w:t>Объем налоговых расходов всего (выпадающих доходов) (тыс. руб.), из них:</w:t>
            </w:r>
          </w:p>
        </w:tc>
        <w:tc>
          <w:tcPr>
            <w:tcW w:w="1418" w:type="dxa"/>
            <w:vAlign w:val="center"/>
          </w:tcPr>
          <w:p w14:paraId="2A98D21F" w14:textId="77777777" w:rsidR="008808A9" w:rsidRDefault="007E265B">
            <w:pPr>
              <w:spacing w:after="0" w:line="240" w:lineRule="auto"/>
              <w:jc w:val="center"/>
              <w:rPr>
                <w:rFonts w:ascii="Times New Roman" w:hAnsi="Times New Roman"/>
              </w:rPr>
            </w:pPr>
            <w:r>
              <w:rPr>
                <w:rFonts w:ascii="Times New Roman" w:hAnsi="Times New Roman"/>
              </w:rPr>
              <w:t>17 870,0</w:t>
            </w:r>
          </w:p>
        </w:tc>
        <w:tc>
          <w:tcPr>
            <w:tcW w:w="1559" w:type="dxa"/>
            <w:vAlign w:val="center"/>
          </w:tcPr>
          <w:p w14:paraId="43C1B0D3" w14:textId="77777777" w:rsidR="008808A9" w:rsidRDefault="007E265B">
            <w:pPr>
              <w:spacing w:after="0" w:line="240" w:lineRule="auto"/>
              <w:jc w:val="center"/>
              <w:rPr>
                <w:rFonts w:ascii="Times New Roman" w:hAnsi="Times New Roman"/>
              </w:rPr>
            </w:pPr>
            <w:r>
              <w:rPr>
                <w:rFonts w:ascii="Times New Roman" w:hAnsi="Times New Roman"/>
              </w:rPr>
              <w:t>22 519,0</w:t>
            </w:r>
          </w:p>
        </w:tc>
        <w:tc>
          <w:tcPr>
            <w:tcW w:w="1418" w:type="dxa"/>
            <w:vAlign w:val="center"/>
          </w:tcPr>
          <w:p w14:paraId="78A96604" w14:textId="77777777" w:rsidR="008808A9" w:rsidRDefault="007E265B">
            <w:pPr>
              <w:spacing w:after="0" w:line="240" w:lineRule="auto"/>
              <w:jc w:val="center"/>
              <w:rPr>
                <w:rFonts w:ascii="Times New Roman" w:hAnsi="Times New Roman"/>
              </w:rPr>
            </w:pPr>
            <w:r>
              <w:rPr>
                <w:rFonts w:ascii="Times New Roman" w:hAnsi="Times New Roman"/>
              </w:rPr>
              <w:t>17 967,0</w:t>
            </w:r>
          </w:p>
        </w:tc>
      </w:tr>
      <w:tr w:rsidR="008808A9" w14:paraId="0F7B59EE" w14:textId="77777777">
        <w:tc>
          <w:tcPr>
            <w:tcW w:w="675" w:type="dxa"/>
            <w:vAlign w:val="center"/>
          </w:tcPr>
          <w:p w14:paraId="59EAF77C" w14:textId="77777777" w:rsidR="008808A9" w:rsidRDefault="007E265B">
            <w:pPr>
              <w:spacing w:after="0" w:line="240" w:lineRule="auto"/>
              <w:jc w:val="center"/>
              <w:rPr>
                <w:rFonts w:ascii="Times New Roman" w:hAnsi="Times New Roman"/>
                <w:i/>
              </w:rPr>
            </w:pPr>
            <w:r>
              <w:rPr>
                <w:rFonts w:ascii="Times New Roman" w:hAnsi="Times New Roman"/>
                <w:i/>
              </w:rPr>
              <w:t>1.1</w:t>
            </w:r>
          </w:p>
        </w:tc>
        <w:tc>
          <w:tcPr>
            <w:tcW w:w="4536" w:type="dxa"/>
            <w:vAlign w:val="center"/>
          </w:tcPr>
          <w:p w14:paraId="26253F3E"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7DF7F646" w14:textId="77777777" w:rsidR="008808A9" w:rsidRDefault="007E265B">
            <w:pPr>
              <w:spacing w:after="0" w:line="240" w:lineRule="auto"/>
              <w:jc w:val="center"/>
              <w:rPr>
                <w:rFonts w:ascii="Times New Roman" w:hAnsi="Times New Roman"/>
                <w:i/>
              </w:rPr>
            </w:pPr>
            <w:r>
              <w:rPr>
                <w:rFonts w:ascii="Times New Roman" w:hAnsi="Times New Roman"/>
                <w:i/>
              </w:rPr>
              <w:t>5 561,0</w:t>
            </w:r>
          </w:p>
        </w:tc>
        <w:tc>
          <w:tcPr>
            <w:tcW w:w="1559" w:type="dxa"/>
          </w:tcPr>
          <w:p w14:paraId="2CAFE9F2" w14:textId="77777777" w:rsidR="008808A9" w:rsidRDefault="007E265B">
            <w:pPr>
              <w:spacing w:after="0" w:line="240" w:lineRule="auto"/>
              <w:jc w:val="center"/>
              <w:rPr>
                <w:rFonts w:ascii="Times New Roman" w:hAnsi="Times New Roman"/>
                <w:i/>
              </w:rPr>
            </w:pPr>
            <w:r>
              <w:rPr>
                <w:rFonts w:ascii="Times New Roman" w:hAnsi="Times New Roman"/>
                <w:i/>
              </w:rPr>
              <w:t>5 908,0</w:t>
            </w:r>
          </w:p>
        </w:tc>
        <w:tc>
          <w:tcPr>
            <w:tcW w:w="1418" w:type="dxa"/>
          </w:tcPr>
          <w:p w14:paraId="73AEAEF8" w14:textId="77777777" w:rsidR="008808A9" w:rsidRDefault="007E265B">
            <w:pPr>
              <w:spacing w:after="0" w:line="240" w:lineRule="auto"/>
              <w:jc w:val="center"/>
              <w:rPr>
                <w:rFonts w:ascii="Times New Roman" w:hAnsi="Times New Roman"/>
                <w:i/>
              </w:rPr>
            </w:pPr>
            <w:r>
              <w:rPr>
                <w:rFonts w:ascii="Times New Roman" w:hAnsi="Times New Roman"/>
                <w:i/>
              </w:rPr>
              <w:t>7 814,0</w:t>
            </w:r>
          </w:p>
        </w:tc>
      </w:tr>
      <w:tr w:rsidR="008808A9" w14:paraId="3781E85A" w14:textId="77777777">
        <w:tc>
          <w:tcPr>
            <w:tcW w:w="675" w:type="dxa"/>
            <w:vAlign w:val="center"/>
          </w:tcPr>
          <w:p w14:paraId="0A35C06D" w14:textId="77777777" w:rsidR="008808A9" w:rsidRDefault="007E265B">
            <w:pPr>
              <w:spacing w:after="0" w:line="240" w:lineRule="auto"/>
              <w:jc w:val="center"/>
              <w:rPr>
                <w:rFonts w:ascii="Times New Roman" w:hAnsi="Times New Roman"/>
                <w:i/>
              </w:rPr>
            </w:pPr>
            <w:r>
              <w:rPr>
                <w:rFonts w:ascii="Times New Roman" w:hAnsi="Times New Roman"/>
                <w:i/>
              </w:rPr>
              <w:lastRenderedPageBreak/>
              <w:t>1.2</w:t>
            </w:r>
          </w:p>
        </w:tc>
        <w:tc>
          <w:tcPr>
            <w:tcW w:w="4536" w:type="dxa"/>
            <w:vAlign w:val="center"/>
          </w:tcPr>
          <w:p w14:paraId="4B23DB95"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Социальные налоговые расходы</w:t>
            </w:r>
          </w:p>
        </w:tc>
        <w:tc>
          <w:tcPr>
            <w:tcW w:w="1418" w:type="dxa"/>
            <w:vAlign w:val="center"/>
          </w:tcPr>
          <w:p w14:paraId="39ABAFA2" w14:textId="77777777" w:rsidR="008808A9" w:rsidRDefault="007E265B">
            <w:pPr>
              <w:spacing w:after="0" w:line="240" w:lineRule="auto"/>
              <w:jc w:val="center"/>
              <w:rPr>
                <w:rFonts w:ascii="Times New Roman" w:hAnsi="Times New Roman"/>
                <w:i/>
              </w:rPr>
            </w:pPr>
            <w:r>
              <w:rPr>
                <w:rFonts w:ascii="Times New Roman" w:hAnsi="Times New Roman"/>
                <w:i/>
              </w:rPr>
              <w:t>1,0</w:t>
            </w:r>
          </w:p>
        </w:tc>
        <w:tc>
          <w:tcPr>
            <w:tcW w:w="1559" w:type="dxa"/>
          </w:tcPr>
          <w:p w14:paraId="0A7D9ECA" w14:textId="77777777" w:rsidR="008808A9" w:rsidRDefault="007E265B">
            <w:pPr>
              <w:spacing w:after="0" w:line="240" w:lineRule="auto"/>
              <w:jc w:val="center"/>
              <w:rPr>
                <w:rFonts w:ascii="Times New Roman" w:hAnsi="Times New Roman"/>
                <w:i/>
              </w:rPr>
            </w:pPr>
            <w:r>
              <w:rPr>
                <w:rFonts w:ascii="Times New Roman" w:hAnsi="Times New Roman"/>
                <w:i/>
              </w:rPr>
              <w:t xml:space="preserve">1,0 </w:t>
            </w:r>
          </w:p>
        </w:tc>
        <w:tc>
          <w:tcPr>
            <w:tcW w:w="1418" w:type="dxa"/>
          </w:tcPr>
          <w:p w14:paraId="1041630F" w14:textId="77777777" w:rsidR="008808A9" w:rsidRDefault="007E265B">
            <w:pPr>
              <w:spacing w:after="0" w:line="240" w:lineRule="auto"/>
              <w:jc w:val="center"/>
              <w:rPr>
                <w:rFonts w:ascii="Times New Roman" w:hAnsi="Times New Roman"/>
                <w:i/>
              </w:rPr>
            </w:pPr>
            <w:r>
              <w:rPr>
                <w:rFonts w:ascii="Times New Roman" w:hAnsi="Times New Roman"/>
                <w:i/>
              </w:rPr>
              <w:t>1,0</w:t>
            </w:r>
          </w:p>
        </w:tc>
      </w:tr>
      <w:tr w:rsidR="008808A9" w14:paraId="5F471709" w14:textId="77777777">
        <w:tc>
          <w:tcPr>
            <w:tcW w:w="675" w:type="dxa"/>
            <w:vAlign w:val="center"/>
          </w:tcPr>
          <w:p w14:paraId="0DBB9D7D" w14:textId="77777777" w:rsidR="008808A9" w:rsidRDefault="007E265B">
            <w:pPr>
              <w:spacing w:after="0" w:line="240" w:lineRule="auto"/>
              <w:jc w:val="center"/>
              <w:rPr>
                <w:rFonts w:ascii="Times New Roman" w:hAnsi="Times New Roman"/>
                <w:i/>
              </w:rPr>
            </w:pPr>
            <w:r>
              <w:rPr>
                <w:rFonts w:ascii="Times New Roman" w:hAnsi="Times New Roman"/>
                <w:i/>
              </w:rPr>
              <w:t>1.3</w:t>
            </w:r>
          </w:p>
        </w:tc>
        <w:tc>
          <w:tcPr>
            <w:tcW w:w="4536" w:type="dxa"/>
            <w:vAlign w:val="center"/>
          </w:tcPr>
          <w:p w14:paraId="71958140"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Технические налоговые расходы</w:t>
            </w:r>
          </w:p>
        </w:tc>
        <w:tc>
          <w:tcPr>
            <w:tcW w:w="1418" w:type="dxa"/>
            <w:vAlign w:val="center"/>
          </w:tcPr>
          <w:p w14:paraId="0F8C60F9" w14:textId="77777777" w:rsidR="008808A9" w:rsidRDefault="007E265B">
            <w:pPr>
              <w:spacing w:after="0" w:line="240" w:lineRule="auto"/>
              <w:jc w:val="center"/>
              <w:rPr>
                <w:rFonts w:ascii="Times New Roman" w:hAnsi="Times New Roman"/>
                <w:i/>
              </w:rPr>
            </w:pPr>
            <w:r>
              <w:rPr>
                <w:rFonts w:ascii="Times New Roman" w:hAnsi="Times New Roman"/>
                <w:i/>
              </w:rPr>
              <w:t>12 308,0</w:t>
            </w:r>
          </w:p>
        </w:tc>
        <w:tc>
          <w:tcPr>
            <w:tcW w:w="1559" w:type="dxa"/>
          </w:tcPr>
          <w:p w14:paraId="1770F984" w14:textId="77777777" w:rsidR="008808A9" w:rsidRDefault="007E265B">
            <w:pPr>
              <w:spacing w:after="0" w:line="240" w:lineRule="auto"/>
              <w:jc w:val="center"/>
              <w:rPr>
                <w:rFonts w:ascii="Times New Roman" w:hAnsi="Times New Roman"/>
                <w:i/>
              </w:rPr>
            </w:pPr>
            <w:r>
              <w:rPr>
                <w:rFonts w:ascii="Times New Roman" w:hAnsi="Times New Roman"/>
                <w:i/>
              </w:rPr>
              <w:t>16 610,0</w:t>
            </w:r>
          </w:p>
        </w:tc>
        <w:tc>
          <w:tcPr>
            <w:tcW w:w="1418" w:type="dxa"/>
          </w:tcPr>
          <w:p w14:paraId="6420F440" w14:textId="77777777" w:rsidR="008808A9" w:rsidRDefault="007E265B">
            <w:pPr>
              <w:spacing w:after="0" w:line="240" w:lineRule="auto"/>
              <w:jc w:val="center"/>
              <w:rPr>
                <w:rFonts w:ascii="Times New Roman" w:hAnsi="Times New Roman"/>
                <w:i/>
              </w:rPr>
            </w:pPr>
            <w:r>
              <w:rPr>
                <w:rFonts w:ascii="Times New Roman" w:hAnsi="Times New Roman"/>
                <w:i/>
              </w:rPr>
              <w:t>10 152,0</w:t>
            </w:r>
          </w:p>
        </w:tc>
      </w:tr>
      <w:tr w:rsidR="008808A9" w14:paraId="0185D818" w14:textId="77777777">
        <w:tc>
          <w:tcPr>
            <w:tcW w:w="9606" w:type="dxa"/>
            <w:gridSpan w:val="5"/>
            <w:vAlign w:val="center"/>
          </w:tcPr>
          <w:p w14:paraId="454BA1AA" w14:textId="77777777" w:rsidR="008808A9" w:rsidRDefault="007E265B">
            <w:pPr>
              <w:spacing w:after="0" w:line="240" w:lineRule="auto"/>
              <w:jc w:val="both"/>
              <w:rPr>
                <w:rFonts w:ascii="Times New Roman" w:hAnsi="Times New Roman"/>
                <w:color w:val="FF0000"/>
              </w:rPr>
            </w:pPr>
            <w:r>
              <w:rPr>
                <w:rFonts w:ascii="Times New Roman" w:hAnsi="Times New Roman"/>
              </w:rPr>
              <w:t>Примечание: рост по стимулирующим налоговым расходам в 2023 году, относительно 2022 года, сложился за счет увеличения налоговой ставки (с 1,3% на 1,6%</w:t>
            </w:r>
            <w:r>
              <w:rPr>
                <w:rFonts w:ascii="Times New Roman" w:hAnsi="Times New Roman"/>
              </w:rPr>
              <w:t>); социальные налоговые расходы имеют твердую динамику поступлений; снижение по техническим налоговым расходам в 2023 году, относительно 2022 года, сложилось за счет уменьшения количества объектов, которые подпадают под льготу</w:t>
            </w:r>
          </w:p>
        </w:tc>
      </w:tr>
      <w:tr w:rsidR="008808A9" w14:paraId="058EA713" w14:textId="77777777">
        <w:tc>
          <w:tcPr>
            <w:tcW w:w="9606" w:type="dxa"/>
            <w:gridSpan w:val="5"/>
            <w:vAlign w:val="center"/>
          </w:tcPr>
          <w:p w14:paraId="06BFC253" w14:textId="77777777" w:rsidR="008808A9" w:rsidRDefault="007E265B">
            <w:pPr>
              <w:spacing w:after="0" w:line="240" w:lineRule="auto"/>
              <w:rPr>
                <w:rFonts w:ascii="Times New Roman" w:hAnsi="Times New Roman"/>
              </w:rPr>
            </w:pPr>
            <w:r>
              <w:rPr>
                <w:rFonts w:ascii="Times New Roman" w:hAnsi="Times New Roman"/>
              </w:rPr>
              <w:t>в том числе:</w:t>
            </w:r>
          </w:p>
        </w:tc>
      </w:tr>
      <w:tr w:rsidR="008808A9" w14:paraId="06A616AC" w14:textId="77777777">
        <w:tc>
          <w:tcPr>
            <w:tcW w:w="675" w:type="dxa"/>
            <w:vAlign w:val="center"/>
          </w:tcPr>
          <w:p w14:paraId="4CAC365E" w14:textId="77777777" w:rsidR="008808A9" w:rsidRDefault="007E265B">
            <w:pPr>
              <w:spacing w:after="0" w:line="240" w:lineRule="auto"/>
              <w:jc w:val="center"/>
              <w:rPr>
                <w:rFonts w:ascii="Times New Roman" w:hAnsi="Times New Roman"/>
              </w:rPr>
            </w:pPr>
            <w:r>
              <w:rPr>
                <w:rFonts w:ascii="Times New Roman" w:hAnsi="Times New Roman"/>
              </w:rPr>
              <w:t>2</w:t>
            </w:r>
          </w:p>
        </w:tc>
        <w:tc>
          <w:tcPr>
            <w:tcW w:w="4536" w:type="dxa"/>
            <w:vAlign w:val="center"/>
          </w:tcPr>
          <w:p w14:paraId="05AE87A9" w14:textId="77777777" w:rsidR="008808A9" w:rsidRDefault="007E265B">
            <w:pPr>
              <w:spacing w:after="0" w:line="240" w:lineRule="auto"/>
              <w:jc w:val="both"/>
              <w:rPr>
                <w:rFonts w:ascii="Times New Roman" w:hAnsi="Times New Roman"/>
              </w:rPr>
            </w:pPr>
            <w:r>
              <w:rPr>
                <w:rFonts w:ascii="Times New Roman" w:hAnsi="Times New Roman"/>
              </w:rPr>
              <w:t>Выпадающие доходы от использования льгот по земельному налогу в соответствии с решением Думы № 33 (тыс. руб.)., из них:</w:t>
            </w:r>
          </w:p>
        </w:tc>
        <w:tc>
          <w:tcPr>
            <w:tcW w:w="1418" w:type="dxa"/>
            <w:vAlign w:val="center"/>
          </w:tcPr>
          <w:p w14:paraId="13970F8D" w14:textId="77777777" w:rsidR="008808A9" w:rsidRDefault="007E265B">
            <w:pPr>
              <w:spacing w:after="0" w:line="240" w:lineRule="auto"/>
              <w:jc w:val="center"/>
              <w:rPr>
                <w:rFonts w:ascii="Times New Roman" w:hAnsi="Times New Roman"/>
              </w:rPr>
            </w:pPr>
            <w:r>
              <w:rPr>
                <w:rFonts w:ascii="Times New Roman" w:hAnsi="Times New Roman"/>
              </w:rPr>
              <w:t>12 919,0</w:t>
            </w:r>
          </w:p>
        </w:tc>
        <w:tc>
          <w:tcPr>
            <w:tcW w:w="1559" w:type="dxa"/>
            <w:vAlign w:val="center"/>
          </w:tcPr>
          <w:p w14:paraId="253C4DB2" w14:textId="77777777" w:rsidR="008808A9" w:rsidRDefault="007E265B">
            <w:pPr>
              <w:spacing w:after="0" w:line="240" w:lineRule="auto"/>
              <w:jc w:val="center"/>
              <w:rPr>
                <w:rFonts w:ascii="Times New Roman" w:hAnsi="Times New Roman"/>
              </w:rPr>
            </w:pPr>
            <w:r>
              <w:rPr>
                <w:rFonts w:ascii="Times New Roman" w:hAnsi="Times New Roman"/>
              </w:rPr>
              <w:t>16 611,0</w:t>
            </w:r>
          </w:p>
        </w:tc>
        <w:tc>
          <w:tcPr>
            <w:tcW w:w="1418" w:type="dxa"/>
            <w:vAlign w:val="center"/>
          </w:tcPr>
          <w:p w14:paraId="157D655B" w14:textId="77777777" w:rsidR="008808A9" w:rsidRDefault="007E265B">
            <w:pPr>
              <w:spacing w:after="0" w:line="240" w:lineRule="auto"/>
              <w:jc w:val="center"/>
              <w:rPr>
                <w:rFonts w:ascii="Times New Roman" w:hAnsi="Times New Roman"/>
              </w:rPr>
            </w:pPr>
            <w:r>
              <w:rPr>
                <w:rFonts w:ascii="Times New Roman" w:hAnsi="Times New Roman"/>
              </w:rPr>
              <w:t>10 153,0</w:t>
            </w:r>
          </w:p>
        </w:tc>
      </w:tr>
      <w:tr w:rsidR="008808A9" w14:paraId="4942879B" w14:textId="77777777">
        <w:tc>
          <w:tcPr>
            <w:tcW w:w="675" w:type="dxa"/>
            <w:vAlign w:val="center"/>
          </w:tcPr>
          <w:p w14:paraId="2CC08A52" w14:textId="77777777" w:rsidR="008808A9" w:rsidRDefault="007E265B">
            <w:pPr>
              <w:spacing w:after="0" w:line="240" w:lineRule="auto"/>
              <w:jc w:val="center"/>
              <w:rPr>
                <w:rFonts w:ascii="Times New Roman" w:hAnsi="Times New Roman"/>
              </w:rPr>
            </w:pPr>
            <w:r>
              <w:rPr>
                <w:rFonts w:ascii="Times New Roman" w:hAnsi="Times New Roman"/>
              </w:rPr>
              <w:t>2.1</w:t>
            </w:r>
          </w:p>
        </w:tc>
        <w:tc>
          <w:tcPr>
            <w:tcW w:w="4536" w:type="dxa"/>
            <w:vAlign w:val="center"/>
          </w:tcPr>
          <w:p w14:paraId="71872A5A"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6970B23C"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610,0</w:t>
            </w:r>
          </w:p>
        </w:tc>
        <w:tc>
          <w:tcPr>
            <w:tcW w:w="1559" w:type="dxa"/>
          </w:tcPr>
          <w:p w14:paraId="2372853C"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699,0</w:t>
            </w:r>
          </w:p>
        </w:tc>
        <w:tc>
          <w:tcPr>
            <w:tcW w:w="1418" w:type="dxa"/>
          </w:tcPr>
          <w:p w14:paraId="7B6E15AD"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439,0</w:t>
            </w:r>
          </w:p>
        </w:tc>
      </w:tr>
      <w:tr w:rsidR="008808A9" w14:paraId="7EEC2D23" w14:textId="77777777">
        <w:tc>
          <w:tcPr>
            <w:tcW w:w="675" w:type="dxa"/>
            <w:vAlign w:val="center"/>
          </w:tcPr>
          <w:p w14:paraId="18592598" w14:textId="77777777" w:rsidR="008808A9" w:rsidRDefault="007E265B">
            <w:pPr>
              <w:spacing w:after="0" w:line="240" w:lineRule="auto"/>
              <w:jc w:val="center"/>
              <w:rPr>
                <w:rFonts w:ascii="Times New Roman" w:hAnsi="Times New Roman"/>
              </w:rPr>
            </w:pPr>
            <w:r>
              <w:rPr>
                <w:rFonts w:ascii="Times New Roman" w:hAnsi="Times New Roman"/>
              </w:rPr>
              <w:t>2.2</w:t>
            </w:r>
          </w:p>
        </w:tc>
        <w:tc>
          <w:tcPr>
            <w:tcW w:w="4536" w:type="dxa"/>
            <w:vAlign w:val="center"/>
          </w:tcPr>
          <w:p w14:paraId="2F03FB5B"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Социальные налоговые расходы</w:t>
            </w:r>
          </w:p>
        </w:tc>
        <w:tc>
          <w:tcPr>
            <w:tcW w:w="1418" w:type="dxa"/>
            <w:vAlign w:val="center"/>
          </w:tcPr>
          <w:p w14:paraId="46CEA24F"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c>
          <w:tcPr>
            <w:tcW w:w="1559" w:type="dxa"/>
          </w:tcPr>
          <w:p w14:paraId="003578C9"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c>
          <w:tcPr>
            <w:tcW w:w="1418" w:type="dxa"/>
          </w:tcPr>
          <w:p w14:paraId="1E676075"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r>
      <w:tr w:rsidR="008808A9" w14:paraId="61E79C88" w14:textId="77777777">
        <w:tc>
          <w:tcPr>
            <w:tcW w:w="675" w:type="dxa"/>
            <w:vAlign w:val="center"/>
          </w:tcPr>
          <w:p w14:paraId="458C8EA0" w14:textId="77777777" w:rsidR="008808A9" w:rsidRDefault="007E265B">
            <w:pPr>
              <w:spacing w:after="0" w:line="240" w:lineRule="auto"/>
              <w:jc w:val="center"/>
              <w:rPr>
                <w:rFonts w:ascii="Times New Roman" w:hAnsi="Times New Roman"/>
              </w:rPr>
            </w:pPr>
            <w:r>
              <w:rPr>
                <w:rFonts w:ascii="Times New Roman" w:hAnsi="Times New Roman"/>
              </w:rPr>
              <w:t>2.3</w:t>
            </w:r>
          </w:p>
        </w:tc>
        <w:tc>
          <w:tcPr>
            <w:tcW w:w="4536" w:type="dxa"/>
            <w:vAlign w:val="center"/>
          </w:tcPr>
          <w:p w14:paraId="3C487428"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Технические налоговые расходы</w:t>
            </w:r>
          </w:p>
        </w:tc>
        <w:tc>
          <w:tcPr>
            <w:tcW w:w="1418" w:type="dxa"/>
            <w:vAlign w:val="center"/>
          </w:tcPr>
          <w:p w14:paraId="429CE8D0"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12 308,0</w:t>
            </w:r>
          </w:p>
        </w:tc>
        <w:tc>
          <w:tcPr>
            <w:tcW w:w="1559" w:type="dxa"/>
          </w:tcPr>
          <w:p w14:paraId="189C5BF1"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15 911,0</w:t>
            </w:r>
          </w:p>
        </w:tc>
        <w:tc>
          <w:tcPr>
            <w:tcW w:w="1418" w:type="dxa"/>
          </w:tcPr>
          <w:p w14:paraId="417FE100"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9 713,0</w:t>
            </w:r>
          </w:p>
        </w:tc>
      </w:tr>
      <w:tr w:rsidR="008808A9" w14:paraId="29572660" w14:textId="77777777">
        <w:trPr>
          <w:trHeight w:val="225"/>
        </w:trPr>
        <w:tc>
          <w:tcPr>
            <w:tcW w:w="9606" w:type="dxa"/>
            <w:gridSpan w:val="5"/>
            <w:vAlign w:val="center"/>
          </w:tcPr>
          <w:p w14:paraId="0D6CFDF4" w14:textId="77777777" w:rsidR="008808A9" w:rsidRDefault="007E265B">
            <w:pPr>
              <w:spacing w:after="0" w:line="240" w:lineRule="auto"/>
              <w:jc w:val="both"/>
              <w:rPr>
                <w:rFonts w:ascii="Times New Roman" w:hAnsi="Times New Roman"/>
              </w:rPr>
            </w:pPr>
            <w:r>
              <w:rPr>
                <w:rFonts w:ascii="Times New Roman" w:hAnsi="Times New Roman"/>
              </w:rPr>
              <w:t>Примечание: уменьшение объема выпадающих доходов по земельному налогу в 2023 году относительно 2022 года поясняется увеличением количества объектов, которые подпадают под льготу</w:t>
            </w:r>
          </w:p>
        </w:tc>
      </w:tr>
      <w:tr w:rsidR="008808A9" w14:paraId="1D494247" w14:textId="77777777">
        <w:trPr>
          <w:trHeight w:val="132"/>
        </w:trPr>
        <w:tc>
          <w:tcPr>
            <w:tcW w:w="675" w:type="dxa"/>
            <w:vAlign w:val="center"/>
          </w:tcPr>
          <w:p w14:paraId="0F67F537"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4536" w:type="dxa"/>
            <w:vAlign w:val="center"/>
          </w:tcPr>
          <w:p w14:paraId="2236E545" w14:textId="77777777" w:rsidR="008808A9" w:rsidRDefault="007E265B">
            <w:pPr>
              <w:spacing w:after="0" w:line="240" w:lineRule="auto"/>
              <w:jc w:val="both"/>
              <w:rPr>
                <w:rFonts w:ascii="Times New Roman" w:hAnsi="Times New Roman"/>
              </w:rPr>
            </w:pPr>
            <w:r>
              <w:rPr>
                <w:rFonts w:ascii="Times New Roman" w:hAnsi="Times New Roman"/>
              </w:rPr>
              <w:t>Выпадающие доходы от использования пониженных ставок по налогу на имущество физических лиц в соответствии с решением Думы города Покачи №101 (тыс. руб.), из них:</w:t>
            </w:r>
          </w:p>
        </w:tc>
        <w:tc>
          <w:tcPr>
            <w:tcW w:w="1418" w:type="dxa"/>
            <w:vAlign w:val="center"/>
          </w:tcPr>
          <w:p w14:paraId="2F065AF0" w14:textId="77777777" w:rsidR="008808A9" w:rsidRDefault="007E265B">
            <w:pPr>
              <w:spacing w:after="0" w:line="240" w:lineRule="auto"/>
              <w:jc w:val="center"/>
              <w:rPr>
                <w:rFonts w:ascii="Times New Roman" w:hAnsi="Times New Roman"/>
              </w:rPr>
            </w:pPr>
            <w:r>
              <w:rPr>
                <w:rFonts w:ascii="Times New Roman" w:hAnsi="Times New Roman"/>
              </w:rPr>
              <w:t>4 951,0</w:t>
            </w:r>
          </w:p>
        </w:tc>
        <w:tc>
          <w:tcPr>
            <w:tcW w:w="1559" w:type="dxa"/>
            <w:vAlign w:val="center"/>
          </w:tcPr>
          <w:p w14:paraId="21DB7EFC"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7CA33C32"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7AE2DDA6" w14:textId="77777777">
        <w:tc>
          <w:tcPr>
            <w:tcW w:w="675" w:type="dxa"/>
            <w:vAlign w:val="center"/>
          </w:tcPr>
          <w:p w14:paraId="1E8057DD" w14:textId="77777777" w:rsidR="008808A9" w:rsidRDefault="007E265B">
            <w:pPr>
              <w:spacing w:after="0" w:line="240" w:lineRule="auto"/>
              <w:jc w:val="center"/>
              <w:rPr>
                <w:rFonts w:ascii="Times New Roman" w:hAnsi="Times New Roman"/>
              </w:rPr>
            </w:pPr>
            <w:r>
              <w:rPr>
                <w:rFonts w:ascii="Times New Roman" w:hAnsi="Times New Roman"/>
              </w:rPr>
              <w:t>3.1</w:t>
            </w:r>
          </w:p>
        </w:tc>
        <w:tc>
          <w:tcPr>
            <w:tcW w:w="4536" w:type="dxa"/>
            <w:vAlign w:val="center"/>
          </w:tcPr>
          <w:p w14:paraId="3CB78A5C"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6843B36D" w14:textId="77777777" w:rsidR="008808A9" w:rsidRDefault="007E265B">
            <w:pPr>
              <w:spacing w:after="0" w:line="240" w:lineRule="auto"/>
              <w:jc w:val="center"/>
              <w:rPr>
                <w:rFonts w:ascii="Times New Roman" w:hAnsi="Times New Roman"/>
              </w:rPr>
            </w:pPr>
            <w:r>
              <w:rPr>
                <w:rFonts w:ascii="Times New Roman" w:hAnsi="Times New Roman"/>
              </w:rPr>
              <w:t>4 951,0</w:t>
            </w:r>
          </w:p>
        </w:tc>
        <w:tc>
          <w:tcPr>
            <w:tcW w:w="1559" w:type="dxa"/>
            <w:vAlign w:val="center"/>
          </w:tcPr>
          <w:p w14:paraId="08474BCC"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32337381"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4D51E6B4" w14:textId="77777777">
        <w:tc>
          <w:tcPr>
            <w:tcW w:w="675" w:type="dxa"/>
            <w:vAlign w:val="center"/>
          </w:tcPr>
          <w:p w14:paraId="6C5E1593" w14:textId="77777777" w:rsidR="008808A9" w:rsidRDefault="007E265B">
            <w:pPr>
              <w:spacing w:after="0" w:line="240" w:lineRule="auto"/>
              <w:jc w:val="center"/>
              <w:rPr>
                <w:rFonts w:ascii="Times New Roman" w:hAnsi="Times New Roman"/>
              </w:rPr>
            </w:pPr>
            <w:r>
              <w:rPr>
                <w:rFonts w:ascii="Times New Roman" w:hAnsi="Times New Roman"/>
              </w:rPr>
              <w:t>3.2</w:t>
            </w:r>
          </w:p>
        </w:tc>
        <w:tc>
          <w:tcPr>
            <w:tcW w:w="4536" w:type="dxa"/>
            <w:vAlign w:val="center"/>
          </w:tcPr>
          <w:p w14:paraId="706E945F"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Социальные налоговые расходы</w:t>
            </w:r>
          </w:p>
        </w:tc>
        <w:tc>
          <w:tcPr>
            <w:tcW w:w="1418" w:type="dxa"/>
            <w:vAlign w:val="center"/>
          </w:tcPr>
          <w:p w14:paraId="5D3EF6F9"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559" w:type="dxa"/>
            <w:vAlign w:val="center"/>
          </w:tcPr>
          <w:p w14:paraId="53958F0A"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418" w:type="dxa"/>
            <w:vAlign w:val="center"/>
          </w:tcPr>
          <w:p w14:paraId="2B9D51A5"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512D45F8" w14:textId="77777777">
        <w:tc>
          <w:tcPr>
            <w:tcW w:w="675" w:type="dxa"/>
            <w:vAlign w:val="center"/>
          </w:tcPr>
          <w:p w14:paraId="5A0C7755" w14:textId="77777777" w:rsidR="008808A9" w:rsidRDefault="007E265B">
            <w:pPr>
              <w:spacing w:after="0" w:line="240" w:lineRule="auto"/>
              <w:jc w:val="center"/>
              <w:rPr>
                <w:rFonts w:ascii="Times New Roman" w:hAnsi="Times New Roman"/>
              </w:rPr>
            </w:pPr>
            <w:r>
              <w:rPr>
                <w:rFonts w:ascii="Times New Roman" w:hAnsi="Times New Roman"/>
              </w:rPr>
              <w:t>3.3</w:t>
            </w:r>
          </w:p>
        </w:tc>
        <w:tc>
          <w:tcPr>
            <w:tcW w:w="4536" w:type="dxa"/>
            <w:vAlign w:val="center"/>
          </w:tcPr>
          <w:p w14:paraId="2B4ADFF5"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Технические налоговые расходы</w:t>
            </w:r>
          </w:p>
        </w:tc>
        <w:tc>
          <w:tcPr>
            <w:tcW w:w="1418" w:type="dxa"/>
            <w:vAlign w:val="center"/>
          </w:tcPr>
          <w:p w14:paraId="727E78F1"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559" w:type="dxa"/>
            <w:vAlign w:val="center"/>
          </w:tcPr>
          <w:p w14:paraId="78F2A591"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418" w:type="dxa"/>
            <w:vAlign w:val="center"/>
          </w:tcPr>
          <w:p w14:paraId="0FC69ACC" w14:textId="77777777" w:rsidR="008808A9" w:rsidRDefault="007E265B">
            <w:pPr>
              <w:spacing w:after="0" w:line="240" w:lineRule="auto"/>
              <w:ind w:right="177"/>
              <w:jc w:val="center"/>
              <w:rPr>
                <w:rFonts w:ascii="Times New Roman" w:hAnsi="Times New Roman"/>
              </w:rPr>
            </w:pPr>
            <w:r>
              <w:rPr>
                <w:rFonts w:ascii="Times New Roman" w:hAnsi="Times New Roman"/>
              </w:rPr>
              <w:t>0,0</w:t>
            </w:r>
          </w:p>
        </w:tc>
      </w:tr>
      <w:tr w:rsidR="008808A9" w14:paraId="10185AA8" w14:textId="77777777">
        <w:tc>
          <w:tcPr>
            <w:tcW w:w="9606" w:type="dxa"/>
            <w:gridSpan w:val="5"/>
            <w:vAlign w:val="center"/>
          </w:tcPr>
          <w:p w14:paraId="50E22E55" w14:textId="77777777" w:rsidR="008808A9" w:rsidRDefault="007E265B">
            <w:pPr>
              <w:spacing w:after="0" w:line="240" w:lineRule="auto"/>
              <w:jc w:val="both"/>
              <w:rPr>
                <w:rFonts w:ascii="Times New Roman" w:hAnsi="Times New Roman"/>
              </w:rPr>
            </w:pPr>
            <w:r>
              <w:rPr>
                <w:rFonts w:ascii="Times New Roman" w:hAnsi="Times New Roman"/>
              </w:rPr>
              <w:t>Примечание: рост выпадающих доходов по налогу на имущество физических лиц в 2023</w:t>
            </w:r>
            <w:r>
              <w:rPr>
                <w:rFonts w:ascii="Times New Roman" w:hAnsi="Times New Roman"/>
              </w:rPr>
              <w:t xml:space="preserve"> году (стимулирующие налоговые расходы) поясняется увеличением налоговой ставки с 1,3% на 1,6% для объектов, которые включены в перечень, определяемый в соответствии с пунктом 7 статьи 378.2 НК РФ </w:t>
            </w:r>
          </w:p>
        </w:tc>
      </w:tr>
    </w:tbl>
    <w:p w14:paraId="115AA87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Согласно данным</w:t>
      </w:r>
      <w:r>
        <w:rPr>
          <w:rFonts w:ascii="Times New Roman" w:hAnsi="Times New Roman"/>
          <w:sz w:val="26"/>
          <w:szCs w:val="26"/>
        </w:rPr>
        <w:t xml:space="preserve"> таблицы видно, что в 2023 году:</w:t>
      </w:r>
    </w:p>
    <w:p w14:paraId="5DFD9101"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- 56,51% налоговых расходов приходится на технические налоговые расходы, целью которых является устранение встречных финансовых потоков путем уменьшения расходов налогоплательщиков, финансовое обеспечение которых осуществляется в полном объеме или частично за счет местного бюджета;</w:t>
      </w:r>
    </w:p>
    <w:p w14:paraId="63B0C0E8"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- 43,49% налоговых расхода приходятся на стимулирующие налоговые расходы, направленные на стимулирование экономической активности организаций, субъектов предпринимательской деятельности, осуществляющих деятельность на территории города Покачи;</w:t>
      </w:r>
    </w:p>
    <w:p w14:paraId="0EE5738E"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- 0,01% налоговых расходов приходится на социальные налоговые расходы, направлены на обеспечения социальной защиты (поддержки) отдельных категорий населения.</w:t>
      </w:r>
    </w:p>
    <w:p w14:paraId="138EB7F3" w14:textId="77777777" w:rsidR="008808A9" w:rsidRDefault="008808A9">
      <w:pPr>
        <w:widowControl w:val="0"/>
        <w:spacing w:after="0" w:line="240" w:lineRule="auto"/>
        <w:ind w:firstLine="709"/>
        <w:jc w:val="both"/>
        <w:rPr>
          <w:rFonts w:ascii="Times New Roman" w:hAnsi="Times New Roman"/>
          <w:color w:val="FF0000"/>
          <w:sz w:val="26"/>
          <w:szCs w:val="26"/>
        </w:rPr>
      </w:pPr>
    </w:p>
    <w:p w14:paraId="6533A2F1" w14:textId="77777777" w:rsidR="008808A9" w:rsidRDefault="007E265B">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Оценка эффективности налоговых расходов определена кураторами налоговых расходов по следующим критериям:</w:t>
      </w:r>
    </w:p>
    <w:p w14:paraId="08FEE433" w14:textId="77777777" w:rsidR="008808A9" w:rsidRDefault="007E265B">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1. Критериям целесообразности, показателями которых является:</w:t>
      </w:r>
    </w:p>
    <w:p w14:paraId="35853A8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соответствие налоговых расходов города Покачи целям муниципальных программ и (или) целям социально-экономической политики города Покачи, не относящимся к муниципальным программам города Покачи;</w:t>
      </w:r>
    </w:p>
    <w:p w14:paraId="53239AF2" w14:textId="77777777" w:rsidR="008808A9" w:rsidRDefault="007E265B">
      <w:pPr>
        <w:spacing w:after="0" w:line="240" w:lineRule="auto"/>
        <w:ind w:firstLine="709"/>
        <w:jc w:val="both"/>
        <w:rPr>
          <w:rFonts w:ascii="Times New Roman" w:hAnsi="Times New Roman"/>
          <w:sz w:val="26"/>
          <w:szCs w:val="26"/>
          <w:vertAlign w:val="subscript"/>
        </w:rPr>
      </w:pPr>
      <w:r>
        <w:rPr>
          <w:rFonts w:ascii="Times New Roman" w:hAnsi="Times New Roman"/>
          <w:sz w:val="26"/>
          <w:szCs w:val="26"/>
        </w:rPr>
        <w:t>2) востребованность плательщиками предоставленных налоговых льгот, пониженных налоговых ставок и иных преференций по налогам, которые характеризуются соотношением численности плательщиков, воспользовавшихся правом и численности плательщиков, обладающих потенциальным правом на применение налоговых льгот, пониженных налоговых ставок и иных преференций по налогам в периоде период.</w:t>
      </w:r>
    </w:p>
    <w:p w14:paraId="17FC1573"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lastRenderedPageBreak/>
        <w:t xml:space="preserve">2. Критериям результативности, </w:t>
      </w:r>
      <w:r>
        <w:rPr>
          <w:rFonts w:ascii="Times New Roman" w:hAnsi="Times New Roman"/>
          <w:sz w:val="26"/>
          <w:szCs w:val="26"/>
        </w:rPr>
        <w:t>показателями которых является:</w:t>
      </w:r>
    </w:p>
    <w:p w14:paraId="3CCFA6F5"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 1) достижения целевого показателя (индикатора), установленного муниципальной программой (подпрограммой, основным мероприятием);</w:t>
      </w:r>
    </w:p>
    <w:p w14:paraId="0544D81A"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2) бюджетная эффективность налоговых расходов;</w:t>
      </w:r>
    </w:p>
    <w:p w14:paraId="3D2321C8"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 социальная эффективность налоговых расходов;</w:t>
      </w:r>
    </w:p>
    <w:p w14:paraId="07D3C250"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 экономическая эффективность налоговых расходов.</w:t>
      </w:r>
    </w:p>
    <w:p w14:paraId="61D22391" w14:textId="77777777" w:rsidR="008808A9" w:rsidRDefault="007E265B">
      <w:pPr>
        <w:tabs>
          <w:tab w:val="left" w:pos="1134"/>
        </w:tab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Результаты оценки эффективности налоговых льгот, представленные кураторами налоговых расходов отражены в Сводном отчете </w:t>
      </w:r>
      <w:r>
        <w:rPr>
          <w:rFonts w:ascii="Times New Roman" w:hAnsi="Times New Roman"/>
          <w:sz w:val="26"/>
          <w:szCs w:val="26"/>
        </w:rPr>
        <w:t>об оценке эффективности налогового расхода города Покачи, согласно приложению 1 к настоящей аналитической записке (далее – Сводный отчет).</w:t>
      </w:r>
    </w:p>
    <w:p w14:paraId="55AB6DD5" w14:textId="77777777" w:rsidR="008808A9" w:rsidRDefault="008808A9">
      <w:pPr>
        <w:tabs>
          <w:tab w:val="left" w:pos="1134"/>
        </w:tabs>
        <w:spacing w:after="0" w:line="240" w:lineRule="auto"/>
        <w:ind w:firstLine="709"/>
        <w:jc w:val="both"/>
        <w:rPr>
          <w:rFonts w:ascii="Times New Roman" w:hAnsi="Times New Roman"/>
          <w:sz w:val="26"/>
          <w:szCs w:val="26"/>
          <w:highlight w:val="yellow"/>
          <w:lang w:eastAsia="ru-RU"/>
        </w:rPr>
      </w:pPr>
    </w:p>
    <w:p w14:paraId="2CA15D65" w14:textId="77777777" w:rsidR="008808A9" w:rsidRDefault="007E265B">
      <w:pPr>
        <w:numPr>
          <w:ilvl w:val="0"/>
          <w:numId w:val="22"/>
        </w:numPr>
        <w:tabs>
          <w:tab w:val="left" w:pos="709"/>
          <w:tab w:val="left" w:pos="851"/>
        </w:tabs>
        <w:spacing w:after="0" w:line="240" w:lineRule="auto"/>
        <w:ind w:left="851" w:hanging="851"/>
        <w:jc w:val="center"/>
        <w:rPr>
          <w:rFonts w:ascii="Times New Roman" w:hAnsi="Times New Roman"/>
          <w:b/>
          <w:sz w:val="26"/>
          <w:szCs w:val="26"/>
        </w:rPr>
      </w:pPr>
      <w:r>
        <w:rPr>
          <w:rFonts w:ascii="Times New Roman" w:hAnsi="Times New Roman"/>
          <w:b/>
          <w:sz w:val="26"/>
          <w:szCs w:val="26"/>
        </w:rPr>
        <w:t>Оценка эффективности налоговых расходов по земельному налогу</w:t>
      </w:r>
    </w:p>
    <w:p w14:paraId="4588BD70"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решением Думы №33 налоговые расходы по земельному налогу предоставлены в виде налоговых льгот в отношении отдельных категорий  физических и юридических лиц, к которым отнесено 11 налоговым расходам (из них: 4 технических налоговых расходов, 4 стимулирующих налоговых расходов, 3 социальных налоговых расходов).</w:t>
      </w:r>
    </w:p>
    <w:p w14:paraId="29D8520C" w14:textId="77777777" w:rsidR="008808A9" w:rsidRDefault="007E265B">
      <w:pPr>
        <w:numPr>
          <w:ilvl w:val="0"/>
          <w:numId w:val="26"/>
        </w:numPr>
        <w:tabs>
          <w:tab w:val="left" w:pos="0"/>
          <w:tab w:val="left" w:pos="993"/>
        </w:tabs>
        <w:spacing w:after="0" w:line="240" w:lineRule="auto"/>
        <w:ind w:left="0" w:firstLine="705"/>
        <w:jc w:val="both"/>
        <w:rPr>
          <w:rFonts w:ascii="Times New Roman" w:hAnsi="Times New Roman"/>
          <w:sz w:val="26"/>
          <w:szCs w:val="26"/>
        </w:rPr>
      </w:pPr>
      <w:r>
        <w:rPr>
          <w:rFonts w:ascii="Times New Roman" w:hAnsi="Times New Roman"/>
          <w:sz w:val="26"/>
          <w:szCs w:val="26"/>
        </w:rPr>
        <w:t>Оценка целесообразности налоговых расходов:</w:t>
      </w:r>
    </w:p>
    <w:p w14:paraId="6AD06076"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а) согласно строке 2 раздела 1 Сводного отчета целям муниципа</w:t>
      </w:r>
      <w:r>
        <w:rPr>
          <w:rFonts w:ascii="Times New Roman" w:hAnsi="Times New Roman"/>
          <w:sz w:val="26"/>
          <w:szCs w:val="26"/>
        </w:rPr>
        <w:t>льных программ (подпрограмм, основных направлений) и (или) целям социально – экономической политики города Покачи, не относящимся к муниципальным программам, соответствуют все 11 налоговых расходов.</w:t>
      </w:r>
    </w:p>
    <w:p w14:paraId="5711815B"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б) согласно строке 3 раздела 1 Сводного отчета востребованными являются 5 налоговых расходов, не востребованными – 6 налоговых расходов.</w:t>
      </w:r>
    </w:p>
    <w:p w14:paraId="559C6EE0"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Оценка результативности налоговых расходов: показатели результативности определены в строках 3, 4 и 5 раздела 2 Сводного отчета. Распределение налоговых расходов по показателям эффективности отражено в таблице 3.</w:t>
      </w:r>
    </w:p>
    <w:p w14:paraId="6D567A03" w14:textId="77777777" w:rsidR="008808A9" w:rsidRDefault="007E265B">
      <w:pPr>
        <w:tabs>
          <w:tab w:val="left" w:pos="993"/>
          <w:tab w:val="left" w:pos="1276"/>
        </w:tabs>
        <w:spacing w:after="0" w:line="240" w:lineRule="auto"/>
        <w:contextualSpacing/>
        <w:jc w:val="right"/>
        <w:rPr>
          <w:rFonts w:ascii="Times New Roman" w:hAnsi="Times New Roman"/>
          <w:sz w:val="26"/>
          <w:szCs w:val="26"/>
        </w:rPr>
      </w:pPr>
      <w:r>
        <w:rPr>
          <w:rFonts w:ascii="Times New Roman" w:hAnsi="Times New Roman"/>
          <w:sz w:val="26"/>
          <w:szCs w:val="26"/>
        </w:rPr>
        <w:t>Таблица 3</w:t>
      </w:r>
    </w:p>
    <w:p w14:paraId="2993C1D9" w14:textId="77777777" w:rsidR="008808A9" w:rsidRDefault="007E265B">
      <w:pPr>
        <w:tabs>
          <w:tab w:val="left" w:pos="993"/>
          <w:tab w:val="left" w:pos="1276"/>
        </w:tabs>
        <w:spacing w:after="0" w:line="240" w:lineRule="auto"/>
        <w:jc w:val="center"/>
        <w:rPr>
          <w:rFonts w:ascii="Times New Roman" w:hAnsi="Times New Roman"/>
          <w:b/>
          <w:sz w:val="26"/>
          <w:szCs w:val="26"/>
        </w:rPr>
      </w:pPr>
      <w:r>
        <w:rPr>
          <w:rFonts w:ascii="Times New Roman" w:hAnsi="Times New Roman"/>
          <w:sz w:val="26"/>
          <w:szCs w:val="26"/>
        </w:rPr>
        <w:t>Распределение налоговых расходов по критериям результативности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430"/>
        <w:gridCol w:w="1560"/>
        <w:gridCol w:w="1787"/>
        <w:gridCol w:w="1640"/>
        <w:gridCol w:w="1640"/>
      </w:tblGrid>
      <w:tr w:rsidR="008808A9" w14:paraId="084A60FC" w14:textId="77777777">
        <w:tc>
          <w:tcPr>
            <w:tcW w:w="513" w:type="dxa"/>
            <w:vMerge w:val="restart"/>
            <w:vAlign w:val="center"/>
          </w:tcPr>
          <w:p w14:paraId="248065F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п/п</w:t>
            </w:r>
          </w:p>
        </w:tc>
        <w:tc>
          <w:tcPr>
            <w:tcW w:w="2430" w:type="dxa"/>
            <w:vMerge w:val="restart"/>
            <w:vAlign w:val="center"/>
          </w:tcPr>
          <w:p w14:paraId="6CD3ACA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Наименование налогового расхода</w:t>
            </w:r>
          </w:p>
        </w:tc>
        <w:tc>
          <w:tcPr>
            <w:tcW w:w="1560" w:type="dxa"/>
            <w:vMerge w:val="restart"/>
            <w:vAlign w:val="center"/>
          </w:tcPr>
          <w:p w14:paraId="0F93AEA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Объем налоговых расходов всего, тыс. руб.</w:t>
            </w:r>
          </w:p>
        </w:tc>
        <w:tc>
          <w:tcPr>
            <w:tcW w:w="5067" w:type="dxa"/>
            <w:gridSpan w:val="3"/>
            <w:vAlign w:val="center"/>
          </w:tcPr>
          <w:p w14:paraId="2F9F2B3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В том числе по показателям эффективности, тыс. руб.</w:t>
            </w:r>
          </w:p>
        </w:tc>
      </w:tr>
      <w:tr w:rsidR="008808A9" w14:paraId="3275FF00" w14:textId="77777777">
        <w:tc>
          <w:tcPr>
            <w:tcW w:w="513" w:type="dxa"/>
            <w:vMerge/>
            <w:vAlign w:val="center"/>
          </w:tcPr>
          <w:p w14:paraId="28776243" w14:textId="77777777" w:rsidR="008808A9" w:rsidRDefault="008808A9">
            <w:pPr>
              <w:tabs>
                <w:tab w:val="left" w:pos="993"/>
                <w:tab w:val="left" w:pos="1276"/>
              </w:tabs>
              <w:spacing w:after="0" w:line="240" w:lineRule="auto"/>
              <w:jc w:val="center"/>
              <w:rPr>
                <w:rFonts w:ascii="Times New Roman" w:hAnsi="Times New Roman"/>
              </w:rPr>
            </w:pPr>
          </w:p>
        </w:tc>
        <w:tc>
          <w:tcPr>
            <w:tcW w:w="2430" w:type="dxa"/>
            <w:vMerge/>
            <w:vAlign w:val="center"/>
          </w:tcPr>
          <w:p w14:paraId="07017F75" w14:textId="77777777" w:rsidR="008808A9" w:rsidRDefault="008808A9">
            <w:pPr>
              <w:tabs>
                <w:tab w:val="left" w:pos="993"/>
                <w:tab w:val="left" w:pos="1276"/>
              </w:tabs>
              <w:spacing w:after="0" w:line="240" w:lineRule="auto"/>
              <w:jc w:val="center"/>
              <w:rPr>
                <w:rFonts w:ascii="Times New Roman" w:hAnsi="Times New Roman"/>
              </w:rPr>
            </w:pPr>
          </w:p>
        </w:tc>
        <w:tc>
          <w:tcPr>
            <w:tcW w:w="1560" w:type="dxa"/>
            <w:vMerge/>
            <w:vAlign w:val="center"/>
          </w:tcPr>
          <w:p w14:paraId="5F835A2F" w14:textId="77777777" w:rsidR="008808A9" w:rsidRDefault="008808A9">
            <w:pPr>
              <w:tabs>
                <w:tab w:val="left" w:pos="993"/>
                <w:tab w:val="left" w:pos="1276"/>
              </w:tabs>
              <w:spacing w:after="0" w:line="240" w:lineRule="auto"/>
              <w:jc w:val="center"/>
            </w:pPr>
          </w:p>
        </w:tc>
        <w:tc>
          <w:tcPr>
            <w:tcW w:w="1787" w:type="dxa"/>
            <w:vAlign w:val="center"/>
          </w:tcPr>
          <w:p w14:paraId="4D279D2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бюджетная эффективность (Бэ), тыс. руб.</w:t>
            </w:r>
          </w:p>
        </w:tc>
        <w:tc>
          <w:tcPr>
            <w:tcW w:w="1640" w:type="dxa"/>
            <w:vAlign w:val="center"/>
          </w:tcPr>
          <w:p w14:paraId="03C3F5F3"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социальная эффективность (Сэ), тыс. руб.</w:t>
            </w:r>
          </w:p>
        </w:tc>
        <w:tc>
          <w:tcPr>
            <w:tcW w:w="1640" w:type="dxa"/>
            <w:vAlign w:val="center"/>
          </w:tcPr>
          <w:p w14:paraId="0FBF218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экономическая эффективность (</w:t>
            </w:r>
            <w:proofErr w:type="spellStart"/>
            <w:r>
              <w:rPr>
                <w:rFonts w:ascii="Times New Roman" w:hAnsi="Times New Roman"/>
              </w:rPr>
              <w:t>Ээ</w:t>
            </w:r>
            <w:proofErr w:type="spellEnd"/>
            <w:r>
              <w:rPr>
                <w:rFonts w:ascii="Times New Roman" w:hAnsi="Times New Roman"/>
              </w:rPr>
              <w:t>), тыс. руб.</w:t>
            </w:r>
          </w:p>
        </w:tc>
      </w:tr>
      <w:tr w:rsidR="008808A9" w14:paraId="335701D8" w14:textId="77777777">
        <w:tc>
          <w:tcPr>
            <w:tcW w:w="513" w:type="dxa"/>
            <w:vAlign w:val="center"/>
          </w:tcPr>
          <w:p w14:paraId="73C47D5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w:t>
            </w:r>
          </w:p>
        </w:tc>
        <w:tc>
          <w:tcPr>
            <w:tcW w:w="2430" w:type="dxa"/>
            <w:vAlign w:val="center"/>
          </w:tcPr>
          <w:p w14:paraId="540A34DF"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 xml:space="preserve">в размере 100 % от суммы, подлежащей зачислению в местный бюджет по всем </w:t>
            </w:r>
            <w:proofErr w:type="spellStart"/>
            <w:r>
              <w:rPr>
                <w:rFonts w:ascii="Times New Roman" w:hAnsi="Times New Roman"/>
              </w:rPr>
              <w:t>налогополучателям</w:t>
            </w:r>
            <w:proofErr w:type="spellEnd"/>
          </w:p>
        </w:tc>
        <w:tc>
          <w:tcPr>
            <w:tcW w:w="1560" w:type="dxa"/>
            <w:vAlign w:val="center"/>
          </w:tcPr>
          <w:p w14:paraId="269B31F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10 153,0</w:t>
            </w:r>
          </w:p>
        </w:tc>
        <w:tc>
          <w:tcPr>
            <w:tcW w:w="1787" w:type="dxa"/>
            <w:vAlign w:val="center"/>
          </w:tcPr>
          <w:p w14:paraId="2AD9B51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9 713,0</w:t>
            </w:r>
          </w:p>
        </w:tc>
        <w:tc>
          <w:tcPr>
            <w:tcW w:w="1640" w:type="dxa"/>
            <w:vAlign w:val="center"/>
          </w:tcPr>
          <w:p w14:paraId="7D0508B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0,00</w:t>
            </w:r>
          </w:p>
        </w:tc>
        <w:tc>
          <w:tcPr>
            <w:tcW w:w="1640" w:type="dxa"/>
            <w:vAlign w:val="center"/>
          </w:tcPr>
          <w:p w14:paraId="452B9098"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439,0</w:t>
            </w:r>
          </w:p>
        </w:tc>
      </w:tr>
      <w:tr w:rsidR="008808A9" w14:paraId="00ACE36A" w14:textId="77777777">
        <w:tc>
          <w:tcPr>
            <w:tcW w:w="513" w:type="dxa"/>
            <w:vAlign w:val="center"/>
          </w:tcPr>
          <w:p w14:paraId="2BEE812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w:t>
            </w:r>
          </w:p>
        </w:tc>
        <w:tc>
          <w:tcPr>
            <w:tcW w:w="2430" w:type="dxa"/>
            <w:vAlign w:val="center"/>
          </w:tcPr>
          <w:p w14:paraId="77DD8C28"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путем уменьшения налоговой базы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w:t>
            </w:r>
          </w:p>
        </w:tc>
        <w:tc>
          <w:tcPr>
            <w:tcW w:w="1560" w:type="dxa"/>
            <w:vAlign w:val="center"/>
          </w:tcPr>
          <w:p w14:paraId="0956D651"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787" w:type="dxa"/>
            <w:vAlign w:val="center"/>
          </w:tcPr>
          <w:p w14:paraId="6368979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640" w:type="dxa"/>
            <w:vAlign w:val="center"/>
          </w:tcPr>
          <w:p w14:paraId="3E8CAEEF"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640" w:type="dxa"/>
            <w:vAlign w:val="center"/>
          </w:tcPr>
          <w:p w14:paraId="361FE54F"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r>
      <w:tr w:rsidR="008808A9" w14:paraId="523145C9" w14:textId="77777777">
        <w:tc>
          <w:tcPr>
            <w:tcW w:w="2943" w:type="dxa"/>
            <w:gridSpan w:val="2"/>
            <w:vAlign w:val="center"/>
          </w:tcPr>
          <w:p w14:paraId="039D1993"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lastRenderedPageBreak/>
              <w:t>ИТОГО</w:t>
            </w:r>
          </w:p>
        </w:tc>
        <w:tc>
          <w:tcPr>
            <w:tcW w:w="1560" w:type="dxa"/>
            <w:vAlign w:val="center"/>
          </w:tcPr>
          <w:p w14:paraId="3CEADB7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10 153,0</w:t>
            </w:r>
          </w:p>
        </w:tc>
        <w:tc>
          <w:tcPr>
            <w:tcW w:w="1787" w:type="dxa"/>
            <w:vAlign w:val="center"/>
          </w:tcPr>
          <w:p w14:paraId="18F353D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9 713,0</w:t>
            </w:r>
          </w:p>
        </w:tc>
        <w:tc>
          <w:tcPr>
            <w:tcW w:w="1640" w:type="dxa"/>
            <w:vAlign w:val="center"/>
          </w:tcPr>
          <w:p w14:paraId="49E50CC4"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640" w:type="dxa"/>
            <w:vAlign w:val="center"/>
          </w:tcPr>
          <w:p w14:paraId="73279FF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439,0</w:t>
            </w:r>
          </w:p>
        </w:tc>
      </w:tr>
      <w:tr w:rsidR="008808A9" w14:paraId="1A9E6B29" w14:textId="77777777">
        <w:tc>
          <w:tcPr>
            <w:tcW w:w="2943" w:type="dxa"/>
            <w:gridSpan w:val="2"/>
            <w:vAlign w:val="center"/>
          </w:tcPr>
          <w:p w14:paraId="474F158C"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доля в общей сумме налоговых расходов (%)</w:t>
            </w:r>
          </w:p>
        </w:tc>
        <w:tc>
          <w:tcPr>
            <w:tcW w:w="1560" w:type="dxa"/>
            <w:vAlign w:val="center"/>
          </w:tcPr>
          <w:p w14:paraId="3FFA7A6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c>
          <w:tcPr>
            <w:tcW w:w="1787" w:type="dxa"/>
            <w:vAlign w:val="center"/>
          </w:tcPr>
          <w:p w14:paraId="07373D8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95,67</w:t>
            </w:r>
          </w:p>
        </w:tc>
        <w:tc>
          <w:tcPr>
            <w:tcW w:w="1640" w:type="dxa"/>
            <w:vAlign w:val="center"/>
          </w:tcPr>
          <w:p w14:paraId="6D412C8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xml:space="preserve">0,0 (расчетный 0,01) </w:t>
            </w:r>
          </w:p>
        </w:tc>
        <w:tc>
          <w:tcPr>
            <w:tcW w:w="1640" w:type="dxa"/>
            <w:vAlign w:val="center"/>
          </w:tcPr>
          <w:p w14:paraId="78561CD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4,33</w:t>
            </w:r>
          </w:p>
        </w:tc>
      </w:tr>
      <w:tr w:rsidR="008808A9" w14:paraId="06C2CE99" w14:textId="77777777">
        <w:tc>
          <w:tcPr>
            <w:tcW w:w="2943" w:type="dxa"/>
            <w:gridSpan w:val="2"/>
            <w:vAlign w:val="center"/>
          </w:tcPr>
          <w:p w14:paraId="4A81B6C5"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 xml:space="preserve">количество </w:t>
            </w:r>
            <w:proofErr w:type="spellStart"/>
            <w:r>
              <w:rPr>
                <w:rFonts w:ascii="Times New Roman" w:hAnsi="Times New Roman"/>
              </w:rPr>
              <w:t>льготополучателей</w:t>
            </w:r>
            <w:proofErr w:type="spellEnd"/>
            <w:r>
              <w:rPr>
                <w:rFonts w:ascii="Times New Roman" w:hAnsi="Times New Roman"/>
              </w:rPr>
              <w:t xml:space="preserve"> </w:t>
            </w:r>
          </w:p>
        </w:tc>
        <w:tc>
          <w:tcPr>
            <w:tcW w:w="1560" w:type="dxa"/>
            <w:vAlign w:val="center"/>
          </w:tcPr>
          <w:p w14:paraId="6D4D8A3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40</w:t>
            </w:r>
          </w:p>
        </w:tc>
        <w:tc>
          <w:tcPr>
            <w:tcW w:w="1787" w:type="dxa"/>
            <w:vAlign w:val="center"/>
          </w:tcPr>
          <w:p w14:paraId="52BC5A56"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16</w:t>
            </w:r>
          </w:p>
        </w:tc>
        <w:tc>
          <w:tcPr>
            <w:tcW w:w="1640" w:type="dxa"/>
            <w:vAlign w:val="center"/>
          </w:tcPr>
          <w:p w14:paraId="1EE286E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22</w:t>
            </w:r>
          </w:p>
        </w:tc>
        <w:tc>
          <w:tcPr>
            <w:tcW w:w="1640" w:type="dxa"/>
            <w:vAlign w:val="center"/>
          </w:tcPr>
          <w:p w14:paraId="735E612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w:t>
            </w:r>
          </w:p>
        </w:tc>
      </w:tr>
    </w:tbl>
    <w:p w14:paraId="7A7C6F90" w14:textId="77777777" w:rsidR="008808A9" w:rsidRDefault="008808A9">
      <w:pPr>
        <w:tabs>
          <w:tab w:val="left" w:pos="0"/>
          <w:tab w:val="left" w:pos="993"/>
        </w:tabs>
        <w:spacing w:after="0" w:line="240" w:lineRule="auto"/>
        <w:ind w:firstLine="705"/>
        <w:jc w:val="both"/>
        <w:rPr>
          <w:rFonts w:ascii="Times New Roman" w:hAnsi="Times New Roman"/>
        </w:rPr>
      </w:pPr>
    </w:p>
    <w:p w14:paraId="12D0D90F" w14:textId="77777777" w:rsidR="008808A9" w:rsidRDefault="007E265B">
      <w:pPr>
        <w:numPr>
          <w:ilvl w:val="0"/>
          <w:numId w:val="22"/>
        </w:numPr>
        <w:spacing w:after="0" w:line="240" w:lineRule="auto"/>
        <w:ind w:hanging="1069"/>
        <w:jc w:val="center"/>
        <w:rPr>
          <w:rFonts w:ascii="Times New Roman" w:hAnsi="Times New Roman"/>
          <w:b/>
          <w:sz w:val="26"/>
          <w:szCs w:val="26"/>
        </w:rPr>
      </w:pPr>
      <w:r>
        <w:rPr>
          <w:rFonts w:ascii="Times New Roman" w:hAnsi="Times New Roman"/>
          <w:b/>
          <w:sz w:val="26"/>
          <w:szCs w:val="26"/>
        </w:rPr>
        <w:t>Оценка эффективности налоговых расходов по налогу на имущество физических лиц</w:t>
      </w:r>
    </w:p>
    <w:p w14:paraId="7123BDBB" w14:textId="77777777" w:rsidR="008808A9" w:rsidRDefault="008808A9">
      <w:pPr>
        <w:spacing w:after="0" w:line="240" w:lineRule="auto"/>
        <w:rPr>
          <w:rFonts w:ascii="Times New Roman" w:hAnsi="Times New Roman"/>
          <w:b/>
          <w:sz w:val="26"/>
          <w:szCs w:val="26"/>
        </w:rPr>
      </w:pPr>
    </w:p>
    <w:p w14:paraId="0332B25D"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решением Думы №101 налоговый расход предоставлен в виде пониженной налоговой ставки по налогу на имущество физических лиц в отношении отдельной категории налогоплательщиков, к которым отнесены 2 налоговых расхода (стимулирующие налоговые расходы).</w:t>
      </w:r>
    </w:p>
    <w:p w14:paraId="4AF13DFA" w14:textId="77777777" w:rsidR="008808A9" w:rsidRDefault="007E265B">
      <w:pPr>
        <w:numPr>
          <w:ilvl w:val="0"/>
          <w:numId w:val="26"/>
        </w:numPr>
        <w:tabs>
          <w:tab w:val="left" w:pos="0"/>
          <w:tab w:val="left" w:pos="993"/>
        </w:tabs>
        <w:spacing w:after="0" w:line="240" w:lineRule="auto"/>
        <w:ind w:left="0" w:firstLine="705"/>
        <w:jc w:val="both"/>
        <w:rPr>
          <w:rFonts w:ascii="Times New Roman" w:hAnsi="Times New Roman"/>
          <w:sz w:val="26"/>
          <w:szCs w:val="26"/>
        </w:rPr>
      </w:pPr>
      <w:r>
        <w:rPr>
          <w:rFonts w:ascii="Times New Roman" w:hAnsi="Times New Roman"/>
          <w:sz w:val="26"/>
          <w:szCs w:val="26"/>
        </w:rPr>
        <w:t>Оценка целесообразности налоговых расходов:</w:t>
      </w:r>
    </w:p>
    <w:p w14:paraId="23E36F66"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а) согласно строке 2 раздела 1 Сводного отчета целям муниципальных программ (подпрограмм, основных направлений) и (или) целям социально – экономической политики города Покачи, не относящимся к муниципальным программам, соответствуют 2 налоговых расхода.</w:t>
      </w:r>
    </w:p>
    <w:p w14:paraId="673562C9"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б) согласно строке 3 раздела 1 Сводного отчета востребованным является 1 налоговый расход, не востребованным – 1 налоговый расход.</w:t>
      </w:r>
    </w:p>
    <w:p w14:paraId="061BA4D8"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Оценка результативности налоговых расходов: показатели результативности определены в строках 3, 4 и 5 раздела 2 Сводного отчета. Распределение налоговых расходов по показателям эффективности отражено в таблице 4.</w:t>
      </w:r>
    </w:p>
    <w:p w14:paraId="6D8FB48E" w14:textId="77777777" w:rsidR="008808A9" w:rsidRDefault="007E265B">
      <w:pPr>
        <w:tabs>
          <w:tab w:val="left" w:pos="993"/>
          <w:tab w:val="left" w:pos="1276"/>
        </w:tabs>
        <w:spacing w:after="0" w:line="240" w:lineRule="auto"/>
        <w:contextualSpacing/>
        <w:jc w:val="right"/>
        <w:rPr>
          <w:rFonts w:ascii="Times New Roman" w:hAnsi="Times New Roman"/>
          <w:sz w:val="26"/>
          <w:szCs w:val="26"/>
        </w:rPr>
      </w:pPr>
      <w:r>
        <w:rPr>
          <w:rFonts w:ascii="Times New Roman" w:hAnsi="Times New Roman"/>
          <w:sz w:val="26"/>
          <w:szCs w:val="26"/>
        </w:rPr>
        <w:t>Таблица 4</w:t>
      </w:r>
    </w:p>
    <w:p w14:paraId="3D0E8D5E"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Распределение налоговых расходов по критериям результативности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620"/>
        <w:gridCol w:w="1517"/>
        <w:gridCol w:w="1640"/>
        <w:gridCol w:w="1640"/>
        <w:gridCol w:w="1640"/>
      </w:tblGrid>
      <w:tr w:rsidR="008808A9" w14:paraId="6BD8125D" w14:textId="77777777">
        <w:tc>
          <w:tcPr>
            <w:tcW w:w="459" w:type="dxa"/>
            <w:vMerge w:val="restart"/>
            <w:vAlign w:val="center"/>
          </w:tcPr>
          <w:p w14:paraId="72522AA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п/п</w:t>
            </w:r>
          </w:p>
        </w:tc>
        <w:tc>
          <w:tcPr>
            <w:tcW w:w="2782" w:type="dxa"/>
            <w:vMerge w:val="restart"/>
            <w:vAlign w:val="center"/>
          </w:tcPr>
          <w:p w14:paraId="553A80B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Наименование налогового расхода</w:t>
            </w:r>
          </w:p>
        </w:tc>
        <w:tc>
          <w:tcPr>
            <w:tcW w:w="1589" w:type="dxa"/>
            <w:vMerge w:val="restart"/>
            <w:vAlign w:val="center"/>
          </w:tcPr>
          <w:p w14:paraId="40699E1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Объем налоговых расходов всего, тыс. руб.</w:t>
            </w:r>
          </w:p>
        </w:tc>
        <w:tc>
          <w:tcPr>
            <w:tcW w:w="4740" w:type="dxa"/>
            <w:gridSpan w:val="3"/>
            <w:vAlign w:val="center"/>
          </w:tcPr>
          <w:p w14:paraId="2EE39501"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В том числе по показателям эффективности, тыс. руб.</w:t>
            </w:r>
          </w:p>
        </w:tc>
      </w:tr>
      <w:tr w:rsidR="008808A9" w14:paraId="44CA33E6" w14:textId="77777777">
        <w:tc>
          <w:tcPr>
            <w:tcW w:w="459" w:type="dxa"/>
            <w:vMerge/>
            <w:vAlign w:val="center"/>
          </w:tcPr>
          <w:p w14:paraId="5B45732B" w14:textId="77777777" w:rsidR="008808A9" w:rsidRDefault="008808A9">
            <w:pPr>
              <w:tabs>
                <w:tab w:val="left" w:pos="993"/>
                <w:tab w:val="left" w:pos="1276"/>
              </w:tabs>
              <w:spacing w:after="0" w:line="240" w:lineRule="auto"/>
              <w:jc w:val="center"/>
              <w:rPr>
                <w:rFonts w:ascii="Times New Roman" w:hAnsi="Times New Roman"/>
              </w:rPr>
            </w:pPr>
          </w:p>
        </w:tc>
        <w:tc>
          <w:tcPr>
            <w:tcW w:w="2782" w:type="dxa"/>
            <w:vMerge/>
            <w:vAlign w:val="center"/>
          </w:tcPr>
          <w:p w14:paraId="12601C5B" w14:textId="77777777" w:rsidR="008808A9" w:rsidRDefault="008808A9">
            <w:pPr>
              <w:tabs>
                <w:tab w:val="left" w:pos="993"/>
                <w:tab w:val="left" w:pos="1276"/>
              </w:tabs>
              <w:spacing w:after="0" w:line="240" w:lineRule="auto"/>
              <w:jc w:val="center"/>
              <w:rPr>
                <w:rFonts w:ascii="Times New Roman" w:hAnsi="Times New Roman"/>
              </w:rPr>
            </w:pPr>
          </w:p>
        </w:tc>
        <w:tc>
          <w:tcPr>
            <w:tcW w:w="1589" w:type="dxa"/>
            <w:vMerge/>
            <w:vAlign w:val="center"/>
          </w:tcPr>
          <w:p w14:paraId="0C2C7979" w14:textId="77777777" w:rsidR="008808A9" w:rsidRDefault="008808A9">
            <w:pPr>
              <w:tabs>
                <w:tab w:val="left" w:pos="993"/>
                <w:tab w:val="left" w:pos="1276"/>
              </w:tabs>
              <w:spacing w:after="0" w:line="240" w:lineRule="auto"/>
              <w:jc w:val="center"/>
              <w:rPr>
                <w:rFonts w:ascii="Times New Roman" w:hAnsi="Times New Roman"/>
              </w:rPr>
            </w:pPr>
          </w:p>
        </w:tc>
        <w:tc>
          <w:tcPr>
            <w:tcW w:w="1580" w:type="dxa"/>
            <w:vAlign w:val="center"/>
          </w:tcPr>
          <w:p w14:paraId="213CC318"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бюджетная эффективность (Бэ), тыс. руб.</w:t>
            </w:r>
          </w:p>
        </w:tc>
        <w:tc>
          <w:tcPr>
            <w:tcW w:w="1580" w:type="dxa"/>
            <w:vAlign w:val="center"/>
          </w:tcPr>
          <w:p w14:paraId="331522A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социальная эффективность (Сэ), тыс. руб.</w:t>
            </w:r>
          </w:p>
        </w:tc>
        <w:tc>
          <w:tcPr>
            <w:tcW w:w="1580" w:type="dxa"/>
            <w:vAlign w:val="center"/>
          </w:tcPr>
          <w:p w14:paraId="4CDFE7B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экономическая эффективность (</w:t>
            </w:r>
            <w:proofErr w:type="spellStart"/>
            <w:r>
              <w:rPr>
                <w:rFonts w:ascii="Times New Roman" w:hAnsi="Times New Roman"/>
              </w:rPr>
              <w:t>Ээ</w:t>
            </w:r>
            <w:proofErr w:type="spellEnd"/>
            <w:r>
              <w:rPr>
                <w:rFonts w:ascii="Times New Roman" w:hAnsi="Times New Roman"/>
              </w:rPr>
              <w:t>), тыс. руб.</w:t>
            </w:r>
          </w:p>
        </w:tc>
      </w:tr>
      <w:tr w:rsidR="008808A9" w14:paraId="3BF99CC3" w14:textId="77777777">
        <w:tc>
          <w:tcPr>
            <w:tcW w:w="459" w:type="dxa"/>
            <w:vAlign w:val="center"/>
          </w:tcPr>
          <w:p w14:paraId="1C35CA2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w:t>
            </w:r>
          </w:p>
        </w:tc>
        <w:tc>
          <w:tcPr>
            <w:tcW w:w="2782" w:type="dxa"/>
            <w:vAlign w:val="center"/>
          </w:tcPr>
          <w:p w14:paraId="569944EF"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в отношении объектов налогообложения, включенных в пункт 2 части 2 статьи 406 Налогового кодекса Российской Федерации</w:t>
            </w:r>
          </w:p>
        </w:tc>
        <w:tc>
          <w:tcPr>
            <w:tcW w:w="1589" w:type="dxa"/>
            <w:vAlign w:val="center"/>
          </w:tcPr>
          <w:p w14:paraId="50F66DF3"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c>
          <w:tcPr>
            <w:tcW w:w="1580" w:type="dxa"/>
            <w:vAlign w:val="center"/>
          </w:tcPr>
          <w:p w14:paraId="18E4D70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1E1AC40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03DFCE4A"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r>
      <w:tr w:rsidR="008808A9" w14:paraId="56F923E9" w14:textId="77777777">
        <w:tc>
          <w:tcPr>
            <w:tcW w:w="3241" w:type="dxa"/>
            <w:gridSpan w:val="2"/>
            <w:vAlign w:val="center"/>
          </w:tcPr>
          <w:p w14:paraId="71FFC14C"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ИТОГО</w:t>
            </w:r>
          </w:p>
        </w:tc>
        <w:tc>
          <w:tcPr>
            <w:tcW w:w="1589" w:type="dxa"/>
            <w:vAlign w:val="center"/>
          </w:tcPr>
          <w:p w14:paraId="7BA7865A"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c>
          <w:tcPr>
            <w:tcW w:w="1580" w:type="dxa"/>
            <w:vAlign w:val="center"/>
          </w:tcPr>
          <w:p w14:paraId="64DA33B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21FFBC0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6ADDB86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r>
      <w:tr w:rsidR="008808A9" w14:paraId="18933FC9" w14:textId="77777777">
        <w:tc>
          <w:tcPr>
            <w:tcW w:w="3241" w:type="dxa"/>
            <w:gridSpan w:val="2"/>
            <w:vAlign w:val="center"/>
          </w:tcPr>
          <w:p w14:paraId="2EE3744B"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доля в общей сумме налоговых расходов (%)</w:t>
            </w:r>
          </w:p>
        </w:tc>
        <w:tc>
          <w:tcPr>
            <w:tcW w:w="1589" w:type="dxa"/>
            <w:vAlign w:val="center"/>
          </w:tcPr>
          <w:p w14:paraId="66F1222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c>
          <w:tcPr>
            <w:tcW w:w="1580" w:type="dxa"/>
            <w:vAlign w:val="center"/>
          </w:tcPr>
          <w:p w14:paraId="4BB757B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53AD718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xml:space="preserve">0,0 </w:t>
            </w:r>
          </w:p>
        </w:tc>
        <w:tc>
          <w:tcPr>
            <w:tcW w:w="1580" w:type="dxa"/>
            <w:vAlign w:val="center"/>
          </w:tcPr>
          <w:p w14:paraId="3FEA3F8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r>
      <w:tr w:rsidR="008808A9" w14:paraId="61EFA1D0" w14:textId="77777777">
        <w:tc>
          <w:tcPr>
            <w:tcW w:w="3241" w:type="dxa"/>
            <w:gridSpan w:val="2"/>
            <w:vAlign w:val="center"/>
          </w:tcPr>
          <w:p w14:paraId="6402C886"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 xml:space="preserve">количество </w:t>
            </w:r>
            <w:proofErr w:type="spellStart"/>
            <w:r>
              <w:rPr>
                <w:rFonts w:ascii="Times New Roman" w:hAnsi="Times New Roman"/>
              </w:rPr>
              <w:t>льготополучателей</w:t>
            </w:r>
            <w:proofErr w:type="spellEnd"/>
            <w:r>
              <w:rPr>
                <w:rFonts w:ascii="Times New Roman" w:hAnsi="Times New Roman"/>
              </w:rPr>
              <w:t xml:space="preserve"> </w:t>
            </w:r>
          </w:p>
        </w:tc>
        <w:tc>
          <w:tcPr>
            <w:tcW w:w="1589" w:type="dxa"/>
            <w:vAlign w:val="center"/>
          </w:tcPr>
          <w:p w14:paraId="59D3B9F5"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87</w:t>
            </w:r>
          </w:p>
        </w:tc>
        <w:tc>
          <w:tcPr>
            <w:tcW w:w="1580" w:type="dxa"/>
            <w:vAlign w:val="center"/>
          </w:tcPr>
          <w:p w14:paraId="2A91E0D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w:t>
            </w:r>
          </w:p>
        </w:tc>
        <w:tc>
          <w:tcPr>
            <w:tcW w:w="1580" w:type="dxa"/>
            <w:vAlign w:val="center"/>
          </w:tcPr>
          <w:p w14:paraId="396A9296"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w:t>
            </w:r>
          </w:p>
        </w:tc>
        <w:tc>
          <w:tcPr>
            <w:tcW w:w="1580" w:type="dxa"/>
            <w:vAlign w:val="center"/>
          </w:tcPr>
          <w:p w14:paraId="4886441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87</w:t>
            </w:r>
          </w:p>
        </w:tc>
      </w:tr>
    </w:tbl>
    <w:p w14:paraId="411F98E1" w14:textId="77777777" w:rsidR="008808A9" w:rsidRDefault="008808A9">
      <w:pPr>
        <w:shd w:val="clear" w:color="auto" w:fill="FFFFFF"/>
        <w:spacing w:after="0" w:line="240" w:lineRule="auto"/>
        <w:jc w:val="center"/>
        <w:rPr>
          <w:rFonts w:ascii="Times New Roman" w:hAnsi="Times New Roman"/>
          <w:b/>
          <w:sz w:val="24"/>
          <w:szCs w:val="24"/>
        </w:rPr>
      </w:pPr>
    </w:p>
    <w:p w14:paraId="7438D44A" w14:textId="77777777" w:rsidR="008808A9" w:rsidRDefault="007E265B">
      <w:pPr>
        <w:shd w:val="clear" w:color="auto" w:fill="FFFFFF"/>
        <w:spacing w:after="0" w:line="240" w:lineRule="auto"/>
        <w:jc w:val="center"/>
        <w:rPr>
          <w:rFonts w:ascii="Times New Roman" w:hAnsi="Times New Roman"/>
          <w:b/>
          <w:sz w:val="26"/>
          <w:szCs w:val="26"/>
        </w:rPr>
      </w:pPr>
      <w:r>
        <w:rPr>
          <w:rFonts w:ascii="Times New Roman" w:hAnsi="Times New Roman"/>
          <w:b/>
          <w:sz w:val="26"/>
          <w:szCs w:val="26"/>
        </w:rPr>
        <w:t>Выводы и предложения по результатам оценки эффективности налоговых расходов</w:t>
      </w:r>
    </w:p>
    <w:p w14:paraId="433511F2" w14:textId="77777777" w:rsidR="008808A9" w:rsidRDefault="007E265B">
      <w:pPr>
        <w:numPr>
          <w:ilvl w:val="0"/>
          <w:numId w:val="30"/>
        </w:numPr>
        <w:shd w:val="clear" w:color="auto" w:fill="FFFFFF"/>
        <w:spacing w:after="0" w:line="240" w:lineRule="auto"/>
        <w:ind w:left="0" w:firstLine="709"/>
        <w:jc w:val="both"/>
        <w:rPr>
          <w:rFonts w:ascii="Times New Roman" w:hAnsi="Times New Roman"/>
          <w:sz w:val="26"/>
          <w:szCs w:val="26"/>
        </w:rPr>
      </w:pPr>
      <w:r>
        <w:rPr>
          <w:rFonts w:ascii="Times New Roman" w:hAnsi="Times New Roman"/>
          <w:sz w:val="26"/>
          <w:szCs w:val="26"/>
        </w:rPr>
        <w:t>По итогам оценки эффективности налоговых расходов, отраженных в Сводном отчете установлено, что поддержк</w:t>
      </w:r>
      <w:r>
        <w:rPr>
          <w:rFonts w:ascii="Times New Roman" w:hAnsi="Times New Roman"/>
          <w:sz w:val="26"/>
          <w:szCs w:val="26"/>
        </w:rPr>
        <w:t xml:space="preserve">ой в виде налоговых расходов воспользовались 127 налогоплательщиков, относящихся к шести льготным категориям налогоплательщиков. </w:t>
      </w:r>
    </w:p>
    <w:p w14:paraId="65FE3C84" w14:textId="77777777" w:rsidR="008808A9" w:rsidRDefault="007E265B">
      <w:pPr>
        <w:numPr>
          <w:ilvl w:val="0"/>
          <w:numId w:val="30"/>
        </w:numPr>
        <w:shd w:val="clear" w:color="auto" w:fill="FFFFFF"/>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Критериям целесообразности и результативности соответствует шесть налоговых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685"/>
        <w:gridCol w:w="3969"/>
        <w:gridCol w:w="1382"/>
      </w:tblGrid>
      <w:tr w:rsidR="008808A9" w14:paraId="074387C0" w14:textId="77777777">
        <w:tc>
          <w:tcPr>
            <w:tcW w:w="534" w:type="dxa"/>
            <w:vAlign w:val="center"/>
          </w:tcPr>
          <w:p w14:paraId="6564785B" w14:textId="77777777" w:rsidR="008808A9" w:rsidRDefault="007E265B">
            <w:pPr>
              <w:spacing w:after="0" w:line="240" w:lineRule="auto"/>
              <w:jc w:val="center"/>
              <w:rPr>
                <w:rFonts w:ascii="Times New Roman" w:hAnsi="Times New Roman"/>
              </w:rPr>
            </w:pPr>
            <w:r>
              <w:rPr>
                <w:rFonts w:ascii="Times New Roman" w:hAnsi="Times New Roman"/>
              </w:rPr>
              <w:t>№</w:t>
            </w:r>
          </w:p>
          <w:p w14:paraId="5A6A242F" w14:textId="77777777" w:rsidR="008808A9" w:rsidRDefault="007E265B">
            <w:pPr>
              <w:spacing w:after="0" w:line="240" w:lineRule="auto"/>
              <w:jc w:val="center"/>
              <w:rPr>
                <w:rFonts w:ascii="Times New Roman" w:hAnsi="Times New Roman"/>
              </w:rPr>
            </w:pPr>
            <w:r>
              <w:rPr>
                <w:rFonts w:ascii="Times New Roman" w:hAnsi="Times New Roman"/>
              </w:rPr>
              <w:t>п/п</w:t>
            </w:r>
          </w:p>
        </w:tc>
        <w:tc>
          <w:tcPr>
            <w:tcW w:w="3685" w:type="dxa"/>
            <w:vAlign w:val="center"/>
          </w:tcPr>
          <w:p w14:paraId="34FAF2D8" w14:textId="77777777" w:rsidR="008808A9" w:rsidRDefault="007E265B">
            <w:pPr>
              <w:spacing w:after="0" w:line="240" w:lineRule="auto"/>
              <w:jc w:val="center"/>
              <w:rPr>
                <w:rFonts w:ascii="Times New Roman" w:hAnsi="Times New Roman"/>
              </w:rPr>
            </w:pPr>
            <w:r>
              <w:rPr>
                <w:rFonts w:ascii="Times New Roman" w:hAnsi="Times New Roman"/>
              </w:rPr>
              <w:t>Налоговые льготы, пониженные налоговые ставок и иных преференции по налогам</w:t>
            </w:r>
          </w:p>
        </w:tc>
        <w:tc>
          <w:tcPr>
            <w:tcW w:w="3969" w:type="dxa"/>
            <w:vAlign w:val="center"/>
          </w:tcPr>
          <w:p w14:paraId="1A432528" w14:textId="77777777" w:rsidR="008808A9" w:rsidRDefault="007E265B">
            <w:pPr>
              <w:spacing w:after="0" w:line="240" w:lineRule="auto"/>
              <w:jc w:val="center"/>
              <w:rPr>
                <w:rFonts w:ascii="Times New Roman" w:hAnsi="Times New Roman"/>
              </w:rPr>
            </w:pPr>
            <w:r>
              <w:rPr>
                <w:rFonts w:ascii="Times New Roman" w:hAnsi="Times New Roman"/>
              </w:rPr>
              <w:t>Результаты оценки целесообразности и результативности</w:t>
            </w:r>
          </w:p>
        </w:tc>
        <w:tc>
          <w:tcPr>
            <w:tcW w:w="1382" w:type="dxa"/>
            <w:vAlign w:val="center"/>
          </w:tcPr>
          <w:p w14:paraId="1CF53D76" w14:textId="77777777" w:rsidR="008808A9" w:rsidRDefault="007E265B">
            <w:pPr>
              <w:spacing w:after="0" w:line="240" w:lineRule="auto"/>
              <w:jc w:val="center"/>
              <w:rPr>
                <w:rFonts w:ascii="Times New Roman" w:hAnsi="Times New Roman"/>
              </w:rPr>
            </w:pPr>
            <w:r>
              <w:rPr>
                <w:rFonts w:ascii="Times New Roman" w:hAnsi="Times New Roman"/>
              </w:rPr>
              <w:t>Сумма налогового расхода (тыс. руб.)</w:t>
            </w:r>
          </w:p>
        </w:tc>
      </w:tr>
      <w:tr w:rsidR="008808A9" w14:paraId="2BDC09F7" w14:textId="77777777">
        <w:tc>
          <w:tcPr>
            <w:tcW w:w="534" w:type="dxa"/>
          </w:tcPr>
          <w:p w14:paraId="44BB86D9" w14:textId="77777777" w:rsidR="008808A9" w:rsidRDefault="007E265B">
            <w:pPr>
              <w:spacing w:after="0" w:line="240" w:lineRule="auto"/>
              <w:jc w:val="both"/>
              <w:rPr>
                <w:rFonts w:ascii="Times New Roman" w:hAnsi="Times New Roman"/>
              </w:rPr>
            </w:pPr>
            <w:r>
              <w:rPr>
                <w:rFonts w:ascii="Times New Roman" w:hAnsi="Times New Roman"/>
              </w:rPr>
              <w:lastRenderedPageBreak/>
              <w:t>1</w:t>
            </w:r>
          </w:p>
        </w:tc>
        <w:tc>
          <w:tcPr>
            <w:tcW w:w="3685" w:type="dxa"/>
          </w:tcPr>
          <w:p w14:paraId="69311237"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образовательные организации города, осуществляющие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осуществляющим предоставление услуг дополнительного образования</w:t>
            </w:r>
          </w:p>
        </w:tc>
        <w:tc>
          <w:tcPr>
            <w:tcW w:w="3969" w:type="dxa"/>
          </w:tcPr>
          <w:p w14:paraId="1A94AA97" w14:textId="77777777" w:rsidR="008808A9" w:rsidRDefault="007E265B">
            <w:pPr>
              <w:spacing w:after="0" w:line="240" w:lineRule="auto"/>
              <w:jc w:val="both"/>
              <w:rPr>
                <w:rFonts w:ascii="Times New Roman" w:hAnsi="Times New Roman"/>
              </w:rPr>
            </w:pPr>
            <w:r>
              <w:rPr>
                <w:rFonts w:ascii="Times New Roman" w:hAnsi="Times New Roman"/>
              </w:rPr>
              <w:t xml:space="preserve">Налоговый расход 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девять налогоплательщиков.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w:t>
            </w:r>
            <w:r>
              <w:rPr>
                <w:rFonts w:ascii="Times New Roman" w:hAnsi="Times New Roman"/>
              </w:rPr>
              <w:t>рекомендуется к дальнейшему применению</w:t>
            </w:r>
          </w:p>
        </w:tc>
        <w:tc>
          <w:tcPr>
            <w:tcW w:w="1382" w:type="dxa"/>
            <w:vAlign w:val="center"/>
          </w:tcPr>
          <w:p w14:paraId="546117D4" w14:textId="77777777" w:rsidR="008808A9" w:rsidRDefault="007E265B">
            <w:pPr>
              <w:spacing w:after="0" w:line="240" w:lineRule="auto"/>
              <w:jc w:val="center"/>
              <w:rPr>
                <w:rFonts w:ascii="Times New Roman" w:hAnsi="Times New Roman"/>
              </w:rPr>
            </w:pPr>
            <w:r>
              <w:rPr>
                <w:rFonts w:ascii="Times New Roman" w:hAnsi="Times New Roman"/>
              </w:rPr>
              <w:t>2 916,0</w:t>
            </w:r>
          </w:p>
        </w:tc>
      </w:tr>
      <w:tr w:rsidR="008808A9" w14:paraId="3F3E2982" w14:textId="77777777">
        <w:tc>
          <w:tcPr>
            <w:tcW w:w="534" w:type="dxa"/>
          </w:tcPr>
          <w:p w14:paraId="33771C6D" w14:textId="77777777" w:rsidR="008808A9" w:rsidRDefault="007E265B">
            <w:pPr>
              <w:spacing w:after="0" w:line="240" w:lineRule="auto"/>
              <w:jc w:val="both"/>
              <w:rPr>
                <w:rFonts w:ascii="Times New Roman" w:hAnsi="Times New Roman"/>
              </w:rPr>
            </w:pPr>
            <w:r>
              <w:rPr>
                <w:rFonts w:ascii="Times New Roman" w:hAnsi="Times New Roman"/>
              </w:rPr>
              <w:t>2</w:t>
            </w:r>
          </w:p>
        </w:tc>
        <w:tc>
          <w:tcPr>
            <w:tcW w:w="3685" w:type="dxa"/>
          </w:tcPr>
          <w:p w14:paraId="7B8A5750"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некоммерческие организации культуры и спорта города, оказывающие культурно-просветительские, спортивные, спортивно-оздоровительные и спортивно-технические услуги населению </w:t>
            </w:r>
          </w:p>
        </w:tc>
        <w:tc>
          <w:tcPr>
            <w:tcW w:w="3969" w:type="dxa"/>
          </w:tcPr>
          <w:p w14:paraId="0544907A" w14:textId="77777777" w:rsidR="008808A9" w:rsidRDefault="007E265B">
            <w:pPr>
              <w:spacing w:after="0" w:line="240" w:lineRule="auto"/>
              <w:jc w:val="both"/>
              <w:rPr>
                <w:rFonts w:ascii="Times New Roman" w:hAnsi="Times New Roman"/>
              </w:rPr>
            </w:pPr>
            <w:r>
              <w:rPr>
                <w:rFonts w:ascii="Times New Roman" w:hAnsi="Times New Roman"/>
              </w:rPr>
              <w:t xml:space="preserve">Налоговый расход </w:t>
            </w:r>
            <w:r>
              <w:rPr>
                <w:rFonts w:ascii="Times New Roman" w:hAnsi="Times New Roman"/>
              </w:rPr>
              <w:t>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пять налогоплательщиков.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рекомендуется к дал</w:t>
            </w:r>
            <w:r>
              <w:rPr>
                <w:rFonts w:ascii="Times New Roman" w:hAnsi="Times New Roman"/>
              </w:rPr>
              <w:t>ьнейшему применению</w:t>
            </w:r>
          </w:p>
        </w:tc>
        <w:tc>
          <w:tcPr>
            <w:tcW w:w="1382" w:type="dxa"/>
            <w:vAlign w:val="center"/>
          </w:tcPr>
          <w:p w14:paraId="326747E7" w14:textId="77777777" w:rsidR="008808A9" w:rsidRDefault="007E265B">
            <w:pPr>
              <w:spacing w:after="0" w:line="240" w:lineRule="auto"/>
              <w:jc w:val="center"/>
              <w:rPr>
                <w:rFonts w:ascii="Times New Roman" w:hAnsi="Times New Roman"/>
              </w:rPr>
            </w:pPr>
            <w:r>
              <w:rPr>
                <w:rFonts w:ascii="Times New Roman" w:hAnsi="Times New Roman"/>
              </w:rPr>
              <w:t>6 656,0</w:t>
            </w:r>
          </w:p>
        </w:tc>
      </w:tr>
      <w:tr w:rsidR="008808A9" w14:paraId="76442748" w14:textId="77777777">
        <w:tc>
          <w:tcPr>
            <w:tcW w:w="534" w:type="dxa"/>
          </w:tcPr>
          <w:p w14:paraId="4ECB29BB" w14:textId="77777777" w:rsidR="008808A9" w:rsidRDefault="007E265B">
            <w:pPr>
              <w:spacing w:after="0" w:line="240" w:lineRule="auto"/>
              <w:jc w:val="both"/>
              <w:rPr>
                <w:rFonts w:ascii="Times New Roman" w:hAnsi="Times New Roman"/>
              </w:rPr>
            </w:pPr>
            <w:r>
              <w:rPr>
                <w:rFonts w:ascii="Times New Roman" w:hAnsi="Times New Roman"/>
              </w:rPr>
              <w:t>3</w:t>
            </w:r>
          </w:p>
        </w:tc>
        <w:tc>
          <w:tcPr>
            <w:tcW w:w="3685" w:type="dxa"/>
          </w:tcPr>
          <w:p w14:paraId="630CCC0A"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органы местного самоуправления города, их структурные подразделения и казенные учреждения города - в отношении земельных участков под объектами, предоставленными для непосредственного выполнения возложенных на эти учреждения функций</w:t>
            </w:r>
          </w:p>
        </w:tc>
        <w:tc>
          <w:tcPr>
            <w:tcW w:w="3969" w:type="dxa"/>
          </w:tcPr>
          <w:p w14:paraId="7CFC850E"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два налогоплательщика.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реко</w:t>
            </w:r>
            <w:r>
              <w:rPr>
                <w:rFonts w:ascii="Times New Roman" w:hAnsi="Times New Roman"/>
              </w:rPr>
              <w:t>мендуется к дальнейшему применению</w:t>
            </w:r>
          </w:p>
        </w:tc>
        <w:tc>
          <w:tcPr>
            <w:tcW w:w="1382" w:type="dxa"/>
            <w:vAlign w:val="center"/>
          </w:tcPr>
          <w:p w14:paraId="7E8959BA" w14:textId="77777777" w:rsidR="008808A9" w:rsidRDefault="007E265B">
            <w:pPr>
              <w:spacing w:after="0" w:line="240" w:lineRule="auto"/>
              <w:jc w:val="center"/>
              <w:rPr>
                <w:rFonts w:ascii="Times New Roman" w:hAnsi="Times New Roman"/>
              </w:rPr>
            </w:pPr>
            <w:r>
              <w:rPr>
                <w:rFonts w:ascii="Times New Roman" w:hAnsi="Times New Roman"/>
              </w:rPr>
              <w:t>141,0</w:t>
            </w:r>
          </w:p>
        </w:tc>
      </w:tr>
      <w:tr w:rsidR="008808A9" w14:paraId="1AAB0E0F" w14:textId="77777777">
        <w:trPr>
          <w:trHeight w:val="714"/>
        </w:trPr>
        <w:tc>
          <w:tcPr>
            <w:tcW w:w="534" w:type="dxa"/>
          </w:tcPr>
          <w:p w14:paraId="2FA3F8F5" w14:textId="77777777" w:rsidR="008808A9" w:rsidRDefault="007E265B">
            <w:pPr>
              <w:spacing w:after="0" w:line="240" w:lineRule="auto"/>
              <w:jc w:val="both"/>
              <w:rPr>
                <w:rFonts w:ascii="Times New Roman" w:hAnsi="Times New Roman"/>
              </w:rPr>
            </w:pPr>
            <w:r>
              <w:rPr>
                <w:rFonts w:ascii="Times New Roman" w:hAnsi="Times New Roman"/>
              </w:rPr>
              <w:t>4</w:t>
            </w:r>
          </w:p>
        </w:tc>
        <w:tc>
          <w:tcPr>
            <w:tcW w:w="3685" w:type="dxa"/>
          </w:tcPr>
          <w:p w14:paraId="409295F6"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неработающих инвалидов, имеющие III группу инвалидности</w:t>
            </w:r>
          </w:p>
        </w:tc>
        <w:tc>
          <w:tcPr>
            <w:tcW w:w="3969" w:type="dxa"/>
          </w:tcPr>
          <w:p w14:paraId="528FD8BB" w14:textId="77777777" w:rsidR="008808A9" w:rsidRDefault="007E265B">
            <w:pPr>
              <w:spacing w:after="0" w:line="240" w:lineRule="auto"/>
              <w:jc w:val="both"/>
              <w:rPr>
                <w:rFonts w:ascii="Times New Roman" w:hAnsi="Times New Roman"/>
              </w:rPr>
            </w:pPr>
            <w:r>
              <w:rPr>
                <w:rFonts w:ascii="Times New Roman" w:hAnsi="Times New Roman"/>
              </w:rPr>
              <w:t xml:space="preserve">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Покачи, и востребован: льготу в размере 100% воспользовалось двадцать два </w:t>
            </w:r>
            <w:r>
              <w:rPr>
                <w:rFonts w:ascii="Times New Roman" w:hAnsi="Times New Roman"/>
              </w:rPr>
              <w:lastRenderedPageBreak/>
              <w:t>налогоплательщиков. Показатель социальной эффективности, согласно подпункту 2 пункта 6 статьи 3 Порядка должен быть&gt; 0. Социальная эффективность данного налога составляет 1,0, следовательно, налоговый расход является эффективным и рекомендуется к дальнейшему применению</w:t>
            </w:r>
          </w:p>
        </w:tc>
        <w:tc>
          <w:tcPr>
            <w:tcW w:w="1382" w:type="dxa"/>
            <w:vAlign w:val="center"/>
          </w:tcPr>
          <w:p w14:paraId="737A5A05" w14:textId="77777777" w:rsidR="008808A9" w:rsidRDefault="007E265B">
            <w:pPr>
              <w:spacing w:after="0" w:line="240" w:lineRule="auto"/>
              <w:jc w:val="center"/>
              <w:rPr>
                <w:rFonts w:ascii="Times New Roman" w:hAnsi="Times New Roman"/>
              </w:rPr>
            </w:pPr>
            <w:r>
              <w:rPr>
                <w:rFonts w:ascii="Times New Roman" w:hAnsi="Times New Roman"/>
              </w:rPr>
              <w:lastRenderedPageBreak/>
              <w:t>1,0</w:t>
            </w:r>
          </w:p>
          <w:p w14:paraId="37DC54B9" w14:textId="77777777" w:rsidR="008808A9" w:rsidRDefault="008808A9">
            <w:pPr>
              <w:spacing w:after="0" w:line="240" w:lineRule="auto"/>
              <w:jc w:val="center"/>
              <w:rPr>
                <w:rFonts w:ascii="Times New Roman" w:hAnsi="Times New Roman"/>
              </w:rPr>
            </w:pPr>
          </w:p>
        </w:tc>
      </w:tr>
      <w:tr w:rsidR="008808A9" w14:paraId="78E5BE57" w14:textId="77777777">
        <w:trPr>
          <w:trHeight w:val="2979"/>
        </w:trPr>
        <w:tc>
          <w:tcPr>
            <w:tcW w:w="534" w:type="dxa"/>
          </w:tcPr>
          <w:p w14:paraId="2F47088D" w14:textId="77777777" w:rsidR="008808A9" w:rsidRDefault="007E265B">
            <w:pPr>
              <w:spacing w:after="0" w:line="240" w:lineRule="auto"/>
              <w:jc w:val="both"/>
              <w:rPr>
                <w:rFonts w:ascii="Times New Roman" w:hAnsi="Times New Roman"/>
              </w:rPr>
            </w:pPr>
            <w:r>
              <w:rPr>
                <w:rFonts w:ascii="Times New Roman" w:hAnsi="Times New Roman"/>
              </w:rPr>
              <w:t>5</w:t>
            </w:r>
          </w:p>
        </w:tc>
        <w:tc>
          <w:tcPr>
            <w:tcW w:w="3685" w:type="dxa"/>
          </w:tcPr>
          <w:p w14:paraId="531FDE6A"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налогоплательщиков, земельные участки которых заняты объектами инженерной инфраструктуры жилищно-коммунального комплекса, в том числе объектами, использующимися для утилизации (захоронения) твердых коммунальных отходов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w:t>
            </w:r>
          </w:p>
        </w:tc>
        <w:tc>
          <w:tcPr>
            <w:tcW w:w="3969" w:type="dxa"/>
          </w:tcPr>
          <w:p w14:paraId="08A47682"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«Развитие жилищно-коммунального комплекса и повышение энергетической эффективности в городе Покачи» и муниципальной программе «Обеспечение экологической безопасности на территории города Покачи», и востребован: льготу в размере 100% применяют два налогоплательщика. Показатель экономическая эффективность, согласно подпункту пункта 6 статьи 3 Порядка должен быть более 0,3. Экономическая эффективность данного налога составляет 0,63, следовательно, нал</w:t>
            </w:r>
            <w:r>
              <w:rPr>
                <w:rFonts w:ascii="Times New Roman" w:hAnsi="Times New Roman"/>
              </w:rPr>
              <w:t>оговый расход является эффективным и рекомендуется к дальнейшему применению</w:t>
            </w:r>
          </w:p>
        </w:tc>
        <w:tc>
          <w:tcPr>
            <w:tcW w:w="1382" w:type="dxa"/>
            <w:vAlign w:val="center"/>
          </w:tcPr>
          <w:p w14:paraId="2862FF38" w14:textId="77777777" w:rsidR="008808A9" w:rsidRDefault="007E265B">
            <w:pPr>
              <w:spacing w:after="0" w:line="240" w:lineRule="auto"/>
              <w:jc w:val="center"/>
              <w:rPr>
                <w:rFonts w:ascii="Times New Roman" w:hAnsi="Times New Roman"/>
              </w:rPr>
            </w:pPr>
            <w:r>
              <w:rPr>
                <w:rFonts w:ascii="Times New Roman" w:hAnsi="Times New Roman"/>
              </w:rPr>
              <w:t>439,0</w:t>
            </w:r>
          </w:p>
        </w:tc>
      </w:tr>
      <w:tr w:rsidR="008808A9" w14:paraId="1A0ABA3A" w14:textId="77777777">
        <w:trPr>
          <w:trHeight w:val="1267"/>
        </w:trPr>
        <w:tc>
          <w:tcPr>
            <w:tcW w:w="534" w:type="dxa"/>
          </w:tcPr>
          <w:p w14:paraId="20C3F5E3" w14:textId="77777777" w:rsidR="008808A9" w:rsidRDefault="007E265B">
            <w:pPr>
              <w:spacing w:after="0" w:line="240" w:lineRule="auto"/>
              <w:jc w:val="both"/>
              <w:rPr>
                <w:rFonts w:ascii="Times New Roman" w:hAnsi="Times New Roman"/>
              </w:rPr>
            </w:pPr>
            <w:r>
              <w:rPr>
                <w:rFonts w:ascii="Times New Roman" w:hAnsi="Times New Roman"/>
              </w:rPr>
              <w:t>6</w:t>
            </w:r>
          </w:p>
        </w:tc>
        <w:tc>
          <w:tcPr>
            <w:tcW w:w="3685" w:type="dxa"/>
          </w:tcPr>
          <w:p w14:paraId="18BCB6B2" w14:textId="77777777" w:rsidR="008808A9" w:rsidRDefault="007E265B">
            <w:pPr>
              <w:spacing w:after="0" w:line="240" w:lineRule="auto"/>
              <w:jc w:val="both"/>
              <w:rPr>
                <w:rFonts w:ascii="Times New Roman" w:hAnsi="Times New Roman"/>
              </w:rPr>
            </w:pPr>
            <w:r>
              <w:rPr>
                <w:rFonts w:ascii="Times New Roman" w:hAnsi="Times New Roman"/>
              </w:rPr>
              <w:t>Пониженные налоговые ставки по налогу на имущество физических лиц в отношении объектов налогообложения, включенных в перечень, определяемый в соответствии с пунктом 7 статьи 378.2 Налогового кодекса Российской Федерации</w:t>
            </w:r>
          </w:p>
        </w:tc>
        <w:tc>
          <w:tcPr>
            <w:tcW w:w="3969" w:type="dxa"/>
          </w:tcPr>
          <w:p w14:paraId="1AB98B1B" w14:textId="77777777" w:rsidR="008808A9" w:rsidRDefault="007E265B">
            <w:pPr>
              <w:spacing w:after="0" w:line="240" w:lineRule="auto"/>
              <w:jc w:val="both"/>
              <w:rPr>
                <w:rFonts w:ascii="Times New Roman" w:hAnsi="Times New Roman"/>
                <w:b/>
              </w:rPr>
            </w:pPr>
            <w:r>
              <w:rPr>
                <w:rFonts w:ascii="Times New Roman" w:hAnsi="Times New Roman"/>
              </w:rPr>
              <w:t>Налоговый расход соответствует муниципальной программе «Поддержка и развитие малого и среднего предпринимательства, агропромышленного комплекса на территории города Покачи», и востребован: пониженные налоговые ставки применили восемьдесят семь налогоплательщиков. Показатель экономическая эффективность, согласно подпункту пункта 6 статьи 3 Порядка должен быть более 0,3. Экономическая эффективность данного налога составляет 0,76, следовательно, налоговый расход является эффективным и рекомендуется к дальнейше</w:t>
            </w:r>
            <w:r>
              <w:rPr>
                <w:rFonts w:ascii="Times New Roman" w:hAnsi="Times New Roman"/>
              </w:rPr>
              <w:t>му применению</w:t>
            </w:r>
          </w:p>
        </w:tc>
        <w:tc>
          <w:tcPr>
            <w:tcW w:w="1382" w:type="dxa"/>
            <w:vAlign w:val="center"/>
          </w:tcPr>
          <w:p w14:paraId="5B1A4660" w14:textId="77777777" w:rsidR="008808A9" w:rsidRDefault="007E265B">
            <w:pPr>
              <w:spacing w:after="0" w:line="240" w:lineRule="auto"/>
              <w:jc w:val="center"/>
              <w:rPr>
                <w:rFonts w:ascii="Times New Roman" w:hAnsi="Times New Roman"/>
              </w:rPr>
            </w:pPr>
            <w:r>
              <w:rPr>
                <w:rFonts w:ascii="Times New Roman" w:hAnsi="Times New Roman"/>
              </w:rPr>
              <w:t>7 814,0</w:t>
            </w:r>
          </w:p>
        </w:tc>
      </w:tr>
    </w:tbl>
    <w:p w14:paraId="3FFCA8B9" w14:textId="18BBB2ED" w:rsidR="007E265B" w:rsidRDefault="007E265B" w:rsidP="007E265B">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Вышеуказанные</w:t>
      </w:r>
      <w:r>
        <w:rPr>
          <w:rFonts w:ascii="Times New Roman" w:hAnsi="Times New Roman"/>
          <w:sz w:val="26"/>
          <w:szCs w:val="26"/>
        </w:rPr>
        <w:t xml:space="preserve"> шесть налоговых расходов являются эффективными и предлагается их сохранить к предоставлению на 2025 год и на плановый период 2026 и 2027 годов.</w:t>
      </w:r>
    </w:p>
    <w:p w14:paraId="44B650ED" w14:textId="3396EC86" w:rsidR="008808A9" w:rsidRDefault="007E265B" w:rsidP="007E265B">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3. Критериям целесообразности и результативности не соответствует семь налоговых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685"/>
        <w:gridCol w:w="3969"/>
        <w:gridCol w:w="1382"/>
      </w:tblGrid>
      <w:tr w:rsidR="008808A9" w14:paraId="048759BE" w14:textId="77777777">
        <w:tc>
          <w:tcPr>
            <w:tcW w:w="534" w:type="dxa"/>
            <w:vAlign w:val="center"/>
          </w:tcPr>
          <w:p w14:paraId="214B6326" w14:textId="77777777" w:rsidR="008808A9" w:rsidRDefault="007E265B">
            <w:pPr>
              <w:spacing w:after="0" w:line="240" w:lineRule="auto"/>
              <w:jc w:val="center"/>
              <w:rPr>
                <w:rFonts w:ascii="Times New Roman" w:hAnsi="Times New Roman"/>
              </w:rPr>
            </w:pPr>
            <w:r>
              <w:rPr>
                <w:rFonts w:ascii="Times New Roman" w:hAnsi="Times New Roman"/>
              </w:rPr>
              <w:t>№</w:t>
            </w:r>
          </w:p>
          <w:p w14:paraId="6427747B" w14:textId="77777777" w:rsidR="008808A9" w:rsidRDefault="007E265B">
            <w:pPr>
              <w:spacing w:after="0" w:line="240" w:lineRule="auto"/>
              <w:jc w:val="center"/>
              <w:rPr>
                <w:rFonts w:ascii="Times New Roman" w:hAnsi="Times New Roman"/>
              </w:rPr>
            </w:pPr>
            <w:r>
              <w:rPr>
                <w:rFonts w:ascii="Times New Roman" w:hAnsi="Times New Roman"/>
              </w:rPr>
              <w:t>п/п</w:t>
            </w:r>
          </w:p>
        </w:tc>
        <w:tc>
          <w:tcPr>
            <w:tcW w:w="3685" w:type="dxa"/>
            <w:vAlign w:val="center"/>
          </w:tcPr>
          <w:p w14:paraId="58AC7E0E" w14:textId="77777777" w:rsidR="008808A9" w:rsidRDefault="007E265B">
            <w:pPr>
              <w:spacing w:after="0" w:line="240" w:lineRule="auto"/>
              <w:jc w:val="center"/>
              <w:rPr>
                <w:rFonts w:ascii="Times New Roman" w:hAnsi="Times New Roman"/>
              </w:rPr>
            </w:pPr>
            <w:r>
              <w:rPr>
                <w:rFonts w:ascii="Times New Roman" w:hAnsi="Times New Roman"/>
              </w:rPr>
              <w:t>Налоговые льготы, пониженные налоговые ставок и иных преференции по налогам</w:t>
            </w:r>
          </w:p>
        </w:tc>
        <w:tc>
          <w:tcPr>
            <w:tcW w:w="3969" w:type="dxa"/>
            <w:vAlign w:val="center"/>
          </w:tcPr>
          <w:p w14:paraId="6C6CC416" w14:textId="77777777" w:rsidR="008808A9" w:rsidRDefault="007E265B">
            <w:pPr>
              <w:spacing w:after="0" w:line="240" w:lineRule="auto"/>
              <w:jc w:val="center"/>
              <w:rPr>
                <w:rFonts w:ascii="Times New Roman" w:hAnsi="Times New Roman"/>
              </w:rPr>
            </w:pPr>
            <w:r>
              <w:rPr>
                <w:rFonts w:ascii="Times New Roman" w:hAnsi="Times New Roman"/>
              </w:rPr>
              <w:t>Результаты оценки целесообразности и результативности</w:t>
            </w:r>
          </w:p>
        </w:tc>
        <w:tc>
          <w:tcPr>
            <w:tcW w:w="1382" w:type="dxa"/>
            <w:vAlign w:val="center"/>
          </w:tcPr>
          <w:p w14:paraId="23AB7A81" w14:textId="77777777" w:rsidR="008808A9" w:rsidRDefault="007E265B">
            <w:pPr>
              <w:spacing w:after="0" w:line="240" w:lineRule="auto"/>
              <w:jc w:val="center"/>
              <w:rPr>
                <w:rFonts w:ascii="Times New Roman" w:hAnsi="Times New Roman"/>
              </w:rPr>
            </w:pPr>
            <w:r>
              <w:rPr>
                <w:rFonts w:ascii="Times New Roman" w:hAnsi="Times New Roman"/>
              </w:rPr>
              <w:t>Сумма налогового расхода (тыс. руб.)</w:t>
            </w:r>
          </w:p>
        </w:tc>
      </w:tr>
      <w:tr w:rsidR="008808A9" w14:paraId="2FF2644C" w14:textId="77777777">
        <w:tc>
          <w:tcPr>
            <w:tcW w:w="534" w:type="dxa"/>
            <w:vAlign w:val="center"/>
          </w:tcPr>
          <w:p w14:paraId="578A8E50"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3685" w:type="dxa"/>
            <w:vAlign w:val="center"/>
          </w:tcPr>
          <w:p w14:paraId="7982670E"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некоммерческие организации города, осуществляющие опубликование </w:t>
            </w:r>
            <w:r>
              <w:rPr>
                <w:rFonts w:ascii="Times New Roman" w:hAnsi="Times New Roman"/>
              </w:rPr>
              <w:lastRenderedPageBreak/>
              <w:t>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3969" w:type="dxa"/>
          </w:tcPr>
          <w:p w14:paraId="1AB875AE" w14:textId="77777777" w:rsidR="008808A9" w:rsidRDefault="007E265B">
            <w:pPr>
              <w:spacing w:after="0" w:line="240" w:lineRule="auto"/>
              <w:jc w:val="both"/>
              <w:rPr>
                <w:rFonts w:ascii="Times New Roman" w:hAnsi="Times New Roman"/>
              </w:rPr>
            </w:pPr>
            <w:r>
              <w:rPr>
                <w:rFonts w:ascii="Times New Roman" w:hAnsi="Times New Roman"/>
              </w:rPr>
              <w:lastRenderedPageBreak/>
              <w:t xml:space="preserve">Налоговый расход соответствует цели Стратегии СЭР части 2 статьи 22 главы 5 раздела 2 концентрации ресурсов на приоритетных направлениях развития </w:t>
            </w:r>
            <w:r>
              <w:rPr>
                <w:rFonts w:ascii="Times New Roman" w:hAnsi="Times New Roman"/>
              </w:rPr>
              <w:lastRenderedPageBreak/>
              <w:t>города путем обеспечения сбалансированности и устойчивости муниципального бюджета. Так как льгота не востребована, критерий результативности не может быть исчислен. Предлагаем данную льготу отменить так как льгота в течение последних трех лет не востребована.</w:t>
            </w:r>
          </w:p>
        </w:tc>
        <w:tc>
          <w:tcPr>
            <w:tcW w:w="1382" w:type="dxa"/>
            <w:vAlign w:val="center"/>
          </w:tcPr>
          <w:p w14:paraId="318755C6" w14:textId="77777777" w:rsidR="008808A9" w:rsidRDefault="007E265B">
            <w:pPr>
              <w:spacing w:after="0" w:line="240" w:lineRule="auto"/>
              <w:jc w:val="center"/>
              <w:rPr>
                <w:rFonts w:ascii="Times New Roman" w:hAnsi="Times New Roman"/>
              </w:rPr>
            </w:pPr>
            <w:r>
              <w:rPr>
                <w:rFonts w:ascii="Times New Roman" w:hAnsi="Times New Roman"/>
              </w:rPr>
              <w:lastRenderedPageBreak/>
              <w:t>0,0</w:t>
            </w:r>
          </w:p>
        </w:tc>
      </w:tr>
      <w:tr w:rsidR="008808A9" w14:paraId="4FACF1AF" w14:textId="77777777">
        <w:tc>
          <w:tcPr>
            <w:tcW w:w="534" w:type="dxa"/>
            <w:vAlign w:val="center"/>
          </w:tcPr>
          <w:p w14:paraId="00FE8983" w14:textId="77777777" w:rsidR="008808A9" w:rsidRDefault="007E265B">
            <w:pPr>
              <w:spacing w:after="0" w:line="240" w:lineRule="auto"/>
              <w:jc w:val="center"/>
              <w:rPr>
                <w:rFonts w:ascii="Times New Roman" w:hAnsi="Times New Roman"/>
              </w:rPr>
            </w:pPr>
            <w:r>
              <w:rPr>
                <w:rFonts w:ascii="Times New Roman" w:hAnsi="Times New Roman"/>
              </w:rPr>
              <w:t>2</w:t>
            </w:r>
          </w:p>
        </w:tc>
        <w:tc>
          <w:tcPr>
            <w:tcW w:w="3685" w:type="dxa"/>
            <w:vAlign w:val="center"/>
          </w:tcPr>
          <w:p w14:paraId="3FEE0828"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организации, субъекта малого и среднего </w:t>
            </w:r>
            <w:r>
              <w:rPr>
                <w:rFonts w:ascii="Times New Roman" w:hAnsi="Times New Roman"/>
              </w:rPr>
              <w:t>предпринимательства - инвесторов, реализующие инвестиционные проекты, входящие в реестр инвестиционных проектов муниципального образования город Покачи</w:t>
            </w:r>
          </w:p>
        </w:tc>
        <w:tc>
          <w:tcPr>
            <w:tcW w:w="3969" w:type="dxa"/>
          </w:tcPr>
          <w:p w14:paraId="29BBCEC2"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4 части 1 статьи 7 главы 3 раздела 1 повышение инвестиционной привлекательности города. Так как льгота не востребована, критерий результативности не может быть исчислен.</w:t>
            </w:r>
          </w:p>
        </w:tc>
        <w:tc>
          <w:tcPr>
            <w:tcW w:w="1382" w:type="dxa"/>
            <w:vAlign w:val="center"/>
          </w:tcPr>
          <w:p w14:paraId="24F7C0D2"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785CCF10" w14:textId="77777777">
        <w:tc>
          <w:tcPr>
            <w:tcW w:w="534" w:type="dxa"/>
            <w:vAlign w:val="center"/>
          </w:tcPr>
          <w:p w14:paraId="38C0A5A9"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3685" w:type="dxa"/>
            <w:vAlign w:val="center"/>
          </w:tcPr>
          <w:p w14:paraId="51A00B20"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социально ориентированные некоммерческие организации, осуществляющие на территории города Покачи виды деятельности, предусмотренные частью 1 статьи 31.1 Федерального закона от 12.01.1996 № 7-ФЗ «О некоммерческих организациях» и решением Думы города Покачи от 26.04.2018 № 26 «Об установлении дополнительных видов деятельности некоммерческих организаций в целях признания их социально ориентированными некоммерческими организациями»</w:t>
            </w:r>
          </w:p>
        </w:tc>
        <w:tc>
          <w:tcPr>
            <w:tcW w:w="3969" w:type="dxa"/>
          </w:tcPr>
          <w:p w14:paraId="03D7B673"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«Поддержка социально ориентированных некоммерческих организаций города Покачи». Так как льгота не востребована, критерий результативности не может быть исчислен.</w:t>
            </w:r>
          </w:p>
        </w:tc>
        <w:tc>
          <w:tcPr>
            <w:tcW w:w="1382" w:type="dxa"/>
            <w:vAlign w:val="center"/>
          </w:tcPr>
          <w:p w14:paraId="057F1BDE"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5F9381B6" w14:textId="77777777">
        <w:tc>
          <w:tcPr>
            <w:tcW w:w="534" w:type="dxa"/>
            <w:vAlign w:val="center"/>
          </w:tcPr>
          <w:p w14:paraId="1B809A97" w14:textId="77777777" w:rsidR="008808A9" w:rsidRDefault="007E265B">
            <w:pPr>
              <w:spacing w:after="0" w:line="240" w:lineRule="auto"/>
              <w:jc w:val="center"/>
              <w:rPr>
                <w:rFonts w:ascii="Times New Roman" w:hAnsi="Times New Roman"/>
              </w:rPr>
            </w:pPr>
            <w:r>
              <w:rPr>
                <w:rFonts w:ascii="Times New Roman" w:hAnsi="Times New Roman"/>
              </w:rPr>
              <w:t>4</w:t>
            </w:r>
          </w:p>
        </w:tc>
        <w:tc>
          <w:tcPr>
            <w:tcW w:w="3685" w:type="dxa"/>
            <w:vAlign w:val="center"/>
          </w:tcPr>
          <w:p w14:paraId="2FB75D69"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управляющие компании индустриальных</w:t>
            </w:r>
            <w:r>
              <w:rPr>
                <w:rFonts w:ascii="Times New Roman" w:hAnsi="Times New Roman"/>
              </w:rPr>
              <w:t xml:space="preserve"> (промышленных) парков, промышленных технопарков, включенным в реестр в соответствии с постановлением Правительства Российской Федерации «О промышленных технопарках и управляющих компаниях промышленных технопарков», в отношении земельных участков, находящихся на территории индустриального (промышленного) парка, промышленного технопарка и используемых при реализации инвестиционных проектов, включенных в реестр инвестиционных проектов муниципального образования город </w:t>
            </w:r>
            <w:r>
              <w:rPr>
                <w:rFonts w:ascii="Times New Roman" w:hAnsi="Times New Roman"/>
              </w:rPr>
              <w:lastRenderedPageBreak/>
              <w:t>Покачи</w:t>
            </w:r>
          </w:p>
        </w:tc>
        <w:tc>
          <w:tcPr>
            <w:tcW w:w="3969" w:type="dxa"/>
          </w:tcPr>
          <w:p w14:paraId="288754B8" w14:textId="77777777" w:rsidR="008808A9" w:rsidRDefault="007E265B">
            <w:pPr>
              <w:spacing w:after="0" w:line="240" w:lineRule="auto"/>
              <w:jc w:val="both"/>
              <w:rPr>
                <w:rFonts w:ascii="Times New Roman" w:hAnsi="Times New Roman"/>
              </w:rPr>
            </w:pPr>
            <w:r>
              <w:rPr>
                <w:rFonts w:ascii="Times New Roman" w:hAnsi="Times New Roman"/>
              </w:rPr>
              <w:lastRenderedPageBreak/>
              <w:t>Налоговый расход соответствует цели Стратегии СЭР пункта 4 части 1 статьи 7 главы 3 раздела 1 повышение инвестиционной привлекательности города. Так как льгота не востребована, критерий результативности не может быть исчислен.</w:t>
            </w:r>
          </w:p>
        </w:tc>
        <w:tc>
          <w:tcPr>
            <w:tcW w:w="1382" w:type="dxa"/>
            <w:vAlign w:val="center"/>
          </w:tcPr>
          <w:p w14:paraId="6AC9ECEF"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21F7319D" w14:textId="77777777">
        <w:tc>
          <w:tcPr>
            <w:tcW w:w="534" w:type="dxa"/>
            <w:vAlign w:val="center"/>
          </w:tcPr>
          <w:p w14:paraId="38E40ABE" w14:textId="77777777" w:rsidR="008808A9" w:rsidRDefault="007E265B">
            <w:pPr>
              <w:spacing w:after="0" w:line="240" w:lineRule="auto"/>
              <w:jc w:val="center"/>
              <w:rPr>
                <w:rFonts w:ascii="Times New Roman" w:hAnsi="Times New Roman"/>
              </w:rPr>
            </w:pPr>
            <w:r>
              <w:rPr>
                <w:rFonts w:ascii="Times New Roman" w:hAnsi="Times New Roman"/>
              </w:rPr>
              <w:t>5</w:t>
            </w:r>
          </w:p>
        </w:tc>
        <w:tc>
          <w:tcPr>
            <w:tcW w:w="3685" w:type="dxa"/>
          </w:tcPr>
          <w:p w14:paraId="1F7CFCE2"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w:t>
            </w:r>
            <w:r>
              <w:rPr>
                <w:rFonts w:ascii="Times New Roman" w:hAnsi="Times New Roman"/>
              </w:rPr>
              <w:t>платы земельного налога граждан - члены семей, в составе которых имеются трое и более детей в возрасте до 18 лет</w:t>
            </w:r>
          </w:p>
        </w:tc>
        <w:tc>
          <w:tcPr>
            <w:tcW w:w="3969" w:type="dxa"/>
            <w:vAlign w:val="center"/>
          </w:tcPr>
          <w:p w14:paraId="18FE261F"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Так как льгота не востребована, критерий результативности не может быть исчислен.</w:t>
            </w:r>
          </w:p>
        </w:tc>
        <w:tc>
          <w:tcPr>
            <w:tcW w:w="1382" w:type="dxa"/>
            <w:vAlign w:val="center"/>
          </w:tcPr>
          <w:p w14:paraId="690939B1"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3CE447C8" w14:textId="77777777">
        <w:tc>
          <w:tcPr>
            <w:tcW w:w="534" w:type="dxa"/>
            <w:vAlign w:val="center"/>
          </w:tcPr>
          <w:p w14:paraId="2337269C" w14:textId="77777777" w:rsidR="008808A9" w:rsidRDefault="007E265B">
            <w:pPr>
              <w:spacing w:after="0" w:line="240" w:lineRule="auto"/>
              <w:jc w:val="center"/>
              <w:rPr>
                <w:rFonts w:ascii="Times New Roman" w:hAnsi="Times New Roman"/>
              </w:rPr>
            </w:pPr>
            <w:r>
              <w:rPr>
                <w:rFonts w:ascii="Times New Roman" w:hAnsi="Times New Roman"/>
              </w:rPr>
              <w:t>6</w:t>
            </w:r>
          </w:p>
        </w:tc>
        <w:tc>
          <w:tcPr>
            <w:tcW w:w="3685" w:type="dxa"/>
            <w:vAlign w:val="center"/>
          </w:tcPr>
          <w:p w14:paraId="15D0E898"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сирот</w:t>
            </w:r>
            <w:r>
              <w:rPr>
                <w:rFonts w:ascii="Times New Roman" w:hAnsi="Times New Roman"/>
              </w:rPr>
              <w:t xml:space="preserve"> - учащиеся общеобразовательных учебных заведений и сироты - студенты высших, средних специальных, профессионально-технических учебных заведений дневной формы обучения, а также несовершеннолетние дети-сироты</w:t>
            </w:r>
          </w:p>
        </w:tc>
        <w:tc>
          <w:tcPr>
            <w:tcW w:w="3969" w:type="dxa"/>
          </w:tcPr>
          <w:p w14:paraId="0A77D25C"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Так как льгота не востребована, критерий результативности не может быть исчислен.</w:t>
            </w:r>
          </w:p>
        </w:tc>
        <w:tc>
          <w:tcPr>
            <w:tcW w:w="1382" w:type="dxa"/>
            <w:vAlign w:val="center"/>
          </w:tcPr>
          <w:p w14:paraId="31CDBD4F"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4DA440EF" w14:textId="77777777">
        <w:tc>
          <w:tcPr>
            <w:tcW w:w="534" w:type="dxa"/>
            <w:vAlign w:val="center"/>
          </w:tcPr>
          <w:p w14:paraId="1CA29375" w14:textId="77777777" w:rsidR="008808A9" w:rsidRDefault="007E265B">
            <w:pPr>
              <w:spacing w:after="0" w:line="240" w:lineRule="auto"/>
              <w:jc w:val="center"/>
              <w:rPr>
                <w:rFonts w:ascii="Times New Roman" w:hAnsi="Times New Roman"/>
              </w:rPr>
            </w:pPr>
            <w:r>
              <w:rPr>
                <w:rFonts w:ascii="Times New Roman" w:hAnsi="Times New Roman"/>
              </w:rPr>
              <w:t>7</w:t>
            </w:r>
          </w:p>
        </w:tc>
        <w:tc>
          <w:tcPr>
            <w:tcW w:w="3685" w:type="dxa"/>
            <w:vAlign w:val="center"/>
          </w:tcPr>
          <w:p w14:paraId="23FFB424" w14:textId="77777777" w:rsidR="008808A9" w:rsidRDefault="007E265B">
            <w:pPr>
              <w:spacing w:after="0" w:line="240" w:lineRule="auto"/>
              <w:jc w:val="both"/>
              <w:rPr>
                <w:rFonts w:ascii="Times New Roman" w:hAnsi="Times New Roman"/>
              </w:rPr>
            </w:pPr>
            <w:r>
              <w:rPr>
                <w:rFonts w:ascii="Times New Roman" w:hAnsi="Times New Roman"/>
              </w:rPr>
              <w:t>Пониженная налоговая ставка по налогу на имущество физических лиц в размере 0% на срок пять лет с даты выдачи разрешения ввода объекта в эксплуатацию в отношении вновь вводимых объектов налогообложения, включенных в перечень, определяемый в соответствии с пунктом 7 статьи 378.2 Налогового кодекса Российской Федерации</w:t>
            </w:r>
          </w:p>
        </w:tc>
        <w:tc>
          <w:tcPr>
            <w:tcW w:w="3969" w:type="dxa"/>
          </w:tcPr>
          <w:p w14:paraId="23AE8B3E"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«Поддержка и развитие малого и среднего предпринимательства, агропромышленного комплекса на территории города Покачи». Так как пониженная налоговая ставка не востребована, критерий результативности не может быть исчислен.</w:t>
            </w:r>
          </w:p>
        </w:tc>
        <w:tc>
          <w:tcPr>
            <w:tcW w:w="1382" w:type="dxa"/>
            <w:vAlign w:val="center"/>
          </w:tcPr>
          <w:p w14:paraId="7A208BE8" w14:textId="77777777" w:rsidR="008808A9" w:rsidRDefault="007E265B">
            <w:pPr>
              <w:spacing w:after="0" w:line="240" w:lineRule="auto"/>
              <w:jc w:val="center"/>
              <w:rPr>
                <w:rFonts w:ascii="Times New Roman" w:hAnsi="Times New Roman"/>
              </w:rPr>
            </w:pPr>
            <w:r>
              <w:rPr>
                <w:rFonts w:ascii="Times New Roman" w:hAnsi="Times New Roman"/>
              </w:rPr>
              <w:t>0,0</w:t>
            </w:r>
          </w:p>
        </w:tc>
      </w:tr>
    </w:tbl>
    <w:p w14:paraId="315C0231" w14:textId="7242D76C"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Вышеуказанные</w:t>
      </w:r>
      <w:r>
        <w:rPr>
          <w:rFonts w:ascii="Times New Roman" w:hAnsi="Times New Roman"/>
          <w:sz w:val="26"/>
          <w:szCs w:val="26"/>
        </w:rPr>
        <w:t xml:space="preserve"> семь налоговых расходов являются не эффективными. В связи с чем, предлагается:</w:t>
      </w:r>
    </w:p>
    <w:p w14:paraId="31CCE4D3" w14:textId="094F3875"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r>
        <w:rPr>
          <w:rFonts w:ascii="Times New Roman" w:hAnsi="Times New Roman"/>
          <w:sz w:val="26"/>
          <w:szCs w:val="26"/>
        </w:rPr>
        <w:t>одну налоговую льготу «освобождение от уплаты земельного налога некоммерческие организации города, осуществляющие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отменить</w:t>
      </w:r>
      <w:r>
        <w:rPr>
          <w:rFonts w:ascii="Times New Roman" w:hAnsi="Times New Roman"/>
          <w:sz w:val="26"/>
          <w:szCs w:val="26"/>
        </w:rPr>
        <w:t xml:space="preserve"> по причине невостребованности (у уч</w:t>
      </w:r>
      <w:r>
        <w:rPr>
          <w:rFonts w:ascii="Times New Roman" w:hAnsi="Times New Roman"/>
          <w:sz w:val="26"/>
          <w:szCs w:val="26"/>
        </w:rPr>
        <w:t>реждения отсутствует земельный участок и передача земельного участка в оперативное управление не планируется);</w:t>
      </w:r>
    </w:p>
    <w:p w14:paraId="1C733005" w14:textId="77777777"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2) шесть вышеуказанных льгот сохранить к предоставлению в 2025 году и в плановом периоде 2026 и 2027 годов в целях повышения инвестиционной привлекательности города Покачи, развития социально-ориентированных некоммерческих организаций, повышение активности населения города в решении общественно значимых вопросов, достижения социально-экономической политики города Покачи.</w:t>
      </w:r>
    </w:p>
    <w:p w14:paraId="0A060098" w14:textId="77777777" w:rsidR="008808A9" w:rsidRDefault="007E265B">
      <w:pPr>
        <w:pStyle w:val="a3"/>
        <w:tabs>
          <w:tab w:val="left" w:pos="993"/>
        </w:tabs>
        <w:spacing w:after="0" w:line="240" w:lineRule="auto"/>
        <w:ind w:left="0" w:firstLine="708"/>
        <w:jc w:val="both"/>
        <w:rPr>
          <w:rFonts w:ascii="Times New Roman" w:hAnsi="Times New Roman"/>
          <w:sz w:val="26"/>
          <w:szCs w:val="26"/>
        </w:rPr>
      </w:pPr>
      <w:r>
        <w:rPr>
          <w:rFonts w:ascii="Times New Roman" w:hAnsi="Times New Roman"/>
          <w:sz w:val="26"/>
          <w:szCs w:val="26"/>
        </w:rPr>
        <w:t>4.  «Сведения об оценке налоговых льгот, планируемых к предоставлению в бюджетном цикле 2025 - 2027 годов», согласно приложению 2 к настоящей аналитической записке, принять к сведению.</w:t>
      </w:r>
    </w:p>
    <w:p w14:paraId="2351735B" w14:textId="77777777" w:rsidR="008808A9" w:rsidRDefault="008808A9">
      <w:pPr>
        <w:shd w:val="clear" w:color="auto" w:fill="FFFFFF"/>
        <w:tabs>
          <w:tab w:val="left" w:pos="993"/>
        </w:tabs>
        <w:spacing w:after="0" w:line="240" w:lineRule="auto"/>
        <w:jc w:val="both"/>
        <w:rPr>
          <w:rFonts w:ascii="Times New Roman" w:hAnsi="Times New Roman"/>
          <w:sz w:val="26"/>
          <w:szCs w:val="26"/>
          <w:highlight w:val="yellow"/>
        </w:rPr>
      </w:pPr>
    </w:p>
    <w:p w14:paraId="06C31D03" w14:textId="77777777" w:rsidR="008808A9" w:rsidRDefault="008808A9">
      <w:pPr>
        <w:shd w:val="clear" w:color="auto" w:fill="FFFFFF"/>
        <w:spacing w:after="0" w:line="240" w:lineRule="auto"/>
        <w:jc w:val="both"/>
        <w:rPr>
          <w:rFonts w:ascii="Times New Roman" w:hAnsi="Times New Roman"/>
          <w:sz w:val="26"/>
          <w:szCs w:val="26"/>
        </w:rPr>
      </w:pPr>
    </w:p>
    <w:p w14:paraId="063CC35A" w14:textId="77777777" w:rsidR="008808A9" w:rsidRDefault="008808A9">
      <w:pPr>
        <w:shd w:val="clear" w:color="auto" w:fill="FFFFFF"/>
        <w:spacing w:after="0" w:line="240" w:lineRule="auto"/>
        <w:jc w:val="both"/>
        <w:rPr>
          <w:rFonts w:ascii="Times New Roman" w:hAnsi="Times New Roman"/>
          <w:sz w:val="26"/>
          <w:szCs w:val="26"/>
        </w:rPr>
      </w:pPr>
    </w:p>
    <w:p w14:paraId="641EFD34" w14:textId="77777777" w:rsidR="008808A9" w:rsidRDefault="008808A9">
      <w:pPr>
        <w:shd w:val="clear" w:color="auto" w:fill="FFFFFF"/>
        <w:spacing w:after="0" w:line="240" w:lineRule="auto"/>
        <w:jc w:val="both"/>
        <w:rPr>
          <w:rFonts w:ascii="Times New Roman" w:hAnsi="Times New Roman"/>
          <w:sz w:val="26"/>
          <w:szCs w:val="26"/>
        </w:rPr>
      </w:pPr>
    </w:p>
    <w:sectPr w:rsidR="008808A9">
      <w:headerReference w:type="default" r:id="rId8"/>
      <w:pgSz w:w="11906" w:h="16838"/>
      <w:pgMar w:top="284" w:right="567" w:bottom="1134" w:left="1985" w:header="284"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2A701" w14:textId="77777777" w:rsidR="008808A9" w:rsidRDefault="007E265B">
      <w:pPr>
        <w:spacing w:after="0" w:line="240" w:lineRule="auto"/>
      </w:pPr>
      <w:r>
        <w:separator/>
      </w:r>
    </w:p>
  </w:endnote>
  <w:endnote w:type="continuationSeparator" w:id="0">
    <w:p w14:paraId="3DA403FD" w14:textId="77777777" w:rsidR="008808A9" w:rsidRDefault="007E2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BA6F6" w14:textId="77777777" w:rsidR="008808A9" w:rsidRDefault="007E265B">
      <w:pPr>
        <w:spacing w:after="0" w:line="240" w:lineRule="auto"/>
      </w:pPr>
      <w:r>
        <w:separator/>
      </w:r>
    </w:p>
  </w:footnote>
  <w:footnote w:type="continuationSeparator" w:id="0">
    <w:p w14:paraId="037BF98C" w14:textId="77777777" w:rsidR="008808A9" w:rsidRDefault="007E2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68E48" w14:textId="77777777" w:rsidR="008808A9" w:rsidRDefault="007E265B">
    <w:pPr>
      <w:pStyle w:val="a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3343D"/>
    <w:multiLevelType w:val="hybridMultilevel"/>
    <w:tmpl w:val="6BB8E3B4"/>
    <w:lvl w:ilvl="0" w:tplc="2C1EFB4E">
      <w:start w:val="1"/>
      <w:numFmt w:val="decimal"/>
      <w:lvlText w:val="%1)"/>
      <w:lvlJc w:val="left"/>
      <w:pPr>
        <w:ind w:left="1211" w:hanging="360"/>
      </w:pPr>
    </w:lvl>
    <w:lvl w:ilvl="1" w:tplc="937A2590">
      <w:start w:val="1"/>
      <w:numFmt w:val="lowerLetter"/>
      <w:lvlText w:val="%2."/>
      <w:lvlJc w:val="left"/>
      <w:pPr>
        <w:ind w:left="1788" w:hanging="360"/>
      </w:pPr>
    </w:lvl>
    <w:lvl w:ilvl="2" w:tplc="536E315C">
      <w:start w:val="1"/>
      <w:numFmt w:val="lowerRoman"/>
      <w:lvlText w:val="%3."/>
      <w:lvlJc w:val="right"/>
      <w:pPr>
        <w:ind w:left="2508" w:hanging="180"/>
      </w:pPr>
    </w:lvl>
    <w:lvl w:ilvl="3" w:tplc="1C7406A8">
      <w:start w:val="1"/>
      <w:numFmt w:val="decimal"/>
      <w:lvlText w:val="%4."/>
      <w:lvlJc w:val="left"/>
      <w:pPr>
        <w:ind w:left="3228" w:hanging="360"/>
      </w:pPr>
    </w:lvl>
    <w:lvl w:ilvl="4" w:tplc="AAE23D90">
      <w:start w:val="1"/>
      <w:numFmt w:val="lowerLetter"/>
      <w:lvlText w:val="%5."/>
      <w:lvlJc w:val="left"/>
      <w:pPr>
        <w:ind w:left="3948" w:hanging="360"/>
      </w:pPr>
    </w:lvl>
    <w:lvl w:ilvl="5" w:tplc="42983120">
      <w:start w:val="1"/>
      <w:numFmt w:val="lowerRoman"/>
      <w:lvlText w:val="%6."/>
      <w:lvlJc w:val="right"/>
      <w:pPr>
        <w:ind w:left="4668" w:hanging="180"/>
      </w:pPr>
    </w:lvl>
    <w:lvl w:ilvl="6" w:tplc="E9920872">
      <w:start w:val="1"/>
      <w:numFmt w:val="decimal"/>
      <w:lvlText w:val="%7."/>
      <w:lvlJc w:val="left"/>
      <w:pPr>
        <w:ind w:left="5388" w:hanging="360"/>
      </w:pPr>
    </w:lvl>
    <w:lvl w:ilvl="7" w:tplc="3D36C164">
      <w:start w:val="1"/>
      <w:numFmt w:val="lowerLetter"/>
      <w:lvlText w:val="%8."/>
      <w:lvlJc w:val="left"/>
      <w:pPr>
        <w:ind w:left="6108" w:hanging="360"/>
      </w:pPr>
    </w:lvl>
    <w:lvl w:ilvl="8" w:tplc="C06A2F86">
      <w:start w:val="1"/>
      <w:numFmt w:val="lowerRoman"/>
      <w:lvlText w:val="%9."/>
      <w:lvlJc w:val="right"/>
      <w:pPr>
        <w:ind w:left="6828" w:hanging="180"/>
      </w:pPr>
    </w:lvl>
  </w:abstractNum>
  <w:abstractNum w:abstractNumId="1" w15:restartNumberingAfterBreak="0">
    <w:nsid w:val="0DCB53B5"/>
    <w:multiLevelType w:val="hybridMultilevel"/>
    <w:tmpl w:val="176E397E"/>
    <w:lvl w:ilvl="0" w:tplc="E2B4B3D8">
      <w:start w:val="1"/>
      <w:numFmt w:val="decimal"/>
      <w:lvlText w:val="%1)"/>
      <w:lvlJc w:val="left"/>
      <w:pPr>
        <w:ind w:left="720" w:hanging="360"/>
      </w:pPr>
    </w:lvl>
    <w:lvl w:ilvl="1" w:tplc="08146616">
      <w:start w:val="1"/>
      <w:numFmt w:val="lowerLetter"/>
      <w:lvlText w:val="%2."/>
      <w:lvlJc w:val="left"/>
      <w:pPr>
        <w:ind w:left="1440" w:hanging="360"/>
      </w:pPr>
    </w:lvl>
    <w:lvl w:ilvl="2" w:tplc="D3725E8E">
      <w:start w:val="1"/>
      <w:numFmt w:val="lowerRoman"/>
      <w:lvlText w:val="%3."/>
      <w:lvlJc w:val="right"/>
      <w:pPr>
        <w:ind w:left="2160" w:hanging="180"/>
      </w:pPr>
    </w:lvl>
    <w:lvl w:ilvl="3" w:tplc="C098FA8E">
      <w:start w:val="1"/>
      <w:numFmt w:val="decimal"/>
      <w:lvlText w:val="%4."/>
      <w:lvlJc w:val="left"/>
      <w:pPr>
        <w:ind w:left="2880" w:hanging="360"/>
      </w:pPr>
    </w:lvl>
    <w:lvl w:ilvl="4" w:tplc="D9F8AA3E">
      <w:start w:val="1"/>
      <w:numFmt w:val="lowerLetter"/>
      <w:lvlText w:val="%5."/>
      <w:lvlJc w:val="left"/>
      <w:pPr>
        <w:ind w:left="3600" w:hanging="360"/>
      </w:pPr>
    </w:lvl>
    <w:lvl w:ilvl="5" w:tplc="AB2EA528">
      <w:start w:val="1"/>
      <w:numFmt w:val="lowerRoman"/>
      <w:lvlText w:val="%6."/>
      <w:lvlJc w:val="right"/>
      <w:pPr>
        <w:ind w:left="4320" w:hanging="180"/>
      </w:pPr>
    </w:lvl>
    <w:lvl w:ilvl="6" w:tplc="5B8A5AC2">
      <w:start w:val="1"/>
      <w:numFmt w:val="decimal"/>
      <w:lvlText w:val="%7."/>
      <w:lvlJc w:val="left"/>
      <w:pPr>
        <w:ind w:left="5040" w:hanging="360"/>
      </w:pPr>
    </w:lvl>
    <w:lvl w:ilvl="7" w:tplc="540CEB0C">
      <w:start w:val="1"/>
      <w:numFmt w:val="lowerLetter"/>
      <w:lvlText w:val="%8."/>
      <w:lvlJc w:val="left"/>
      <w:pPr>
        <w:ind w:left="5760" w:hanging="360"/>
      </w:pPr>
    </w:lvl>
    <w:lvl w:ilvl="8" w:tplc="C17C2C46">
      <w:start w:val="1"/>
      <w:numFmt w:val="lowerRoman"/>
      <w:lvlText w:val="%9."/>
      <w:lvlJc w:val="right"/>
      <w:pPr>
        <w:ind w:left="6480" w:hanging="180"/>
      </w:pPr>
    </w:lvl>
  </w:abstractNum>
  <w:abstractNum w:abstractNumId="2" w15:restartNumberingAfterBreak="0">
    <w:nsid w:val="115811F1"/>
    <w:multiLevelType w:val="hybridMultilevel"/>
    <w:tmpl w:val="EFA2C9CC"/>
    <w:lvl w:ilvl="0" w:tplc="4E2657F6">
      <w:start w:val="1"/>
      <w:numFmt w:val="decimal"/>
      <w:lvlText w:val="%1."/>
      <w:lvlJc w:val="left"/>
      <w:pPr>
        <w:ind w:left="1069" w:hanging="360"/>
      </w:pPr>
    </w:lvl>
    <w:lvl w:ilvl="1" w:tplc="F758799A">
      <w:start w:val="1"/>
      <w:numFmt w:val="lowerLetter"/>
      <w:lvlText w:val="%2."/>
      <w:lvlJc w:val="left"/>
      <w:pPr>
        <w:ind w:left="1789" w:hanging="360"/>
      </w:pPr>
    </w:lvl>
    <w:lvl w:ilvl="2" w:tplc="8E98DDBA">
      <w:start w:val="1"/>
      <w:numFmt w:val="lowerRoman"/>
      <w:lvlText w:val="%3."/>
      <w:lvlJc w:val="right"/>
      <w:pPr>
        <w:ind w:left="2509" w:hanging="180"/>
      </w:pPr>
    </w:lvl>
    <w:lvl w:ilvl="3" w:tplc="ECF2B532">
      <w:start w:val="1"/>
      <w:numFmt w:val="decimal"/>
      <w:lvlText w:val="%4."/>
      <w:lvlJc w:val="left"/>
      <w:pPr>
        <w:ind w:left="3229" w:hanging="360"/>
      </w:pPr>
    </w:lvl>
    <w:lvl w:ilvl="4" w:tplc="E0C68C34">
      <w:start w:val="1"/>
      <w:numFmt w:val="lowerLetter"/>
      <w:lvlText w:val="%5."/>
      <w:lvlJc w:val="left"/>
      <w:pPr>
        <w:ind w:left="3949" w:hanging="360"/>
      </w:pPr>
    </w:lvl>
    <w:lvl w:ilvl="5" w:tplc="3EA011AC">
      <w:start w:val="1"/>
      <w:numFmt w:val="lowerRoman"/>
      <w:lvlText w:val="%6."/>
      <w:lvlJc w:val="right"/>
      <w:pPr>
        <w:ind w:left="4669" w:hanging="180"/>
      </w:pPr>
    </w:lvl>
    <w:lvl w:ilvl="6" w:tplc="4002E5FA">
      <w:start w:val="1"/>
      <w:numFmt w:val="decimal"/>
      <w:lvlText w:val="%7."/>
      <w:lvlJc w:val="left"/>
      <w:pPr>
        <w:ind w:left="5389" w:hanging="360"/>
      </w:pPr>
    </w:lvl>
    <w:lvl w:ilvl="7" w:tplc="4E5A3EF0">
      <w:start w:val="1"/>
      <w:numFmt w:val="lowerLetter"/>
      <w:lvlText w:val="%8."/>
      <w:lvlJc w:val="left"/>
      <w:pPr>
        <w:ind w:left="6109" w:hanging="360"/>
      </w:pPr>
    </w:lvl>
    <w:lvl w:ilvl="8" w:tplc="E10E53F8">
      <w:start w:val="1"/>
      <w:numFmt w:val="lowerRoman"/>
      <w:lvlText w:val="%9."/>
      <w:lvlJc w:val="right"/>
      <w:pPr>
        <w:ind w:left="6829" w:hanging="180"/>
      </w:pPr>
    </w:lvl>
  </w:abstractNum>
  <w:abstractNum w:abstractNumId="3" w15:restartNumberingAfterBreak="0">
    <w:nsid w:val="14A06AB3"/>
    <w:multiLevelType w:val="hybridMultilevel"/>
    <w:tmpl w:val="5CEEA22C"/>
    <w:lvl w:ilvl="0" w:tplc="F9D86502">
      <w:start w:val="1"/>
      <w:numFmt w:val="decimal"/>
      <w:lvlText w:val="%1."/>
      <w:lvlJc w:val="left"/>
      <w:pPr>
        <w:ind w:left="720" w:hanging="360"/>
      </w:pPr>
    </w:lvl>
    <w:lvl w:ilvl="1" w:tplc="81AE949E">
      <w:start w:val="1"/>
      <w:numFmt w:val="lowerLetter"/>
      <w:lvlText w:val="%2."/>
      <w:lvlJc w:val="left"/>
      <w:pPr>
        <w:ind w:left="1440" w:hanging="360"/>
      </w:pPr>
    </w:lvl>
    <w:lvl w:ilvl="2" w:tplc="FAF8A7BE">
      <w:start w:val="1"/>
      <w:numFmt w:val="lowerRoman"/>
      <w:lvlText w:val="%3."/>
      <w:lvlJc w:val="right"/>
      <w:pPr>
        <w:ind w:left="2160" w:hanging="180"/>
      </w:pPr>
    </w:lvl>
    <w:lvl w:ilvl="3" w:tplc="8EA4AAEE">
      <w:start w:val="1"/>
      <w:numFmt w:val="decimal"/>
      <w:lvlText w:val="%4."/>
      <w:lvlJc w:val="left"/>
      <w:pPr>
        <w:ind w:left="2880" w:hanging="360"/>
      </w:pPr>
    </w:lvl>
    <w:lvl w:ilvl="4" w:tplc="DE5CFA58">
      <w:start w:val="1"/>
      <w:numFmt w:val="lowerLetter"/>
      <w:lvlText w:val="%5."/>
      <w:lvlJc w:val="left"/>
      <w:pPr>
        <w:ind w:left="3600" w:hanging="360"/>
      </w:pPr>
    </w:lvl>
    <w:lvl w:ilvl="5" w:tplc="B97415D4">
      <w:start w:val="1"/>
      <w:numFmt w:val="lowerRoman"/>
      <w:lvlText w:val="%6."/>
      <w:lvlJc w:val="right"/>
      <w:pPr>
        <w:ind w:left="4320" w:hanging="180"/>
      </w:pPr>
    </w:lvl>
    <w:lvl w:ilvl="6" w:tplc="B0F896DE">
      <w:start w:val="1"/>
      <w:numFmt w:val="decimal"/>
      <w:lvlText w:val="%7."/>
      <w:lvlJc w:val="left"/>
      <w:pPr>
        <w:ind w:left="5040" w:hanging="360"/>
      </w:pPr>
    </w:lvl>
    <w:lvl w:ilvl="7" w:tplc="42E6C1D4">
      <w:start w:val="1"/>
      <w:numFmt w:val="lowerLetter"/>
      <w:lvlText w:val="%8."/>
      <w:lvlJc w:val="left"/>
      <w:pPr>
        <w:ind w:left="5760" w:hanging="360"/>
      </w:pPr>
    </w:lvl>
    <w:lvl w:ilvl="8" w:tplc="631A7978">
      <w:start w:val="1"/>
      <w:numFmt w:val="lowerRoman"/>
      <w:lvlText w:val="%9."/>
      <w:lvlJc w:val="right"/>
      <w:pPr>
        <w:ind w:left="6480" w:hanging="180"/>
      </w:pPr>
    </w:lvl>
  </w:abstractNum>
  <w:abstractNum w:abstractNumId="4" w15:restartNumberingAfterBreak="0">
    <w:nsid w:val="1561650E"/>
    <w:multiLevelType w:val="hybridMultilevel"/>
    <w:tmpl w:val="3A18280C"/>
    <w:lvl w:ilvl="0" w:tplc="B7B06336">
      <w:start w:val="1"/>
      <w:numFmt w:val="decimal"/>
      <w:lvlText w:val="%1)"/>
      <w:lvlJc w:val="left"/>
      <w:pPr>
        <w:ind w:left="1069" w:hanging="360"/>
      </w:pPr>
    </w:lvl>
    <w:lvl w:ilvl="1" w:tplc="6958CFBE">
      <w:start w:val="1"/>
      <w:numFmt w:val="lowerLetter"/>
      <w:lvlText w:val="%2."/>
      <w:lvlJc w:val="left"/>
      <w:pPr>
        <w:ind w:left="1789" w:hanging="360"/>
      </w:pPr>
    </w:lvl>
    <w:lvl w:ilvl="2" w:tplc="237CA9F0">
      <w:start w:val="1"/>
      <w:numFmt w:val="lowerRoman"/>
      <w:lvlText w:val="%3."/>
      <w:lvlJc w:val="right"/>
      <w:pPr>
        <w:ind w:left="2509" w:hanging="180"/>
      </w:pPr>
    </w:lvl>
    <w:lvl w:ilvl="3" w:tplc="E224FDDA">
      <w:start w:val="1"/>
      <w:numFmt w:val="decimal"/>
      <w:lvlText w:val="%4."/>
      <w:lvlJc w:val="left"/>
      <w:pPr>
        <w:ind w:left="3229" w:hanging="360"/>
      </w:pPr>
    </w:lvl>
    <w:lvl w:ilvl="4" w:tplc="3052150C">
      <w:start w:val="1"/>
      <w:numFmt w:val="lowerLetter"/>
      <w:lvlText w:val="%5."/>
      <w:lvlJc w:val="left"/>
      <w:pPr>
        <w:ind w:left="3949" w:hanging="360"/>
      </w:pPr>
    </w:lvl>
    <w:lvl w:ilvl="5" w:tplc="CA28DC54">
      <w:start w:val="1"/>
      <w:numFmt w:val="lowerRoman"/>
      <w:lvlText w:val="%6."/>
      <w:lvlJc w:val="right"/>
      <w:pPr>
        <w:ind w:left="4669" w:hanging="180"/>
      </w:pPr>
    </w:lvl>
    <w:lvl w:ilvl="6" w:tplc="43DE01C8">
      <w:start w:val="1"/>
      <w:numFmt w:val="decimal"/>
      <w:lvlText w:val="%7."/>
      <w:lvlJc w:val="left"/>
      <w:pPr>
        <w:ind w:left="5389" w:hanging="360"/>
      </w:pPr>
    </w:lvl>
    <w:lvl w:ilvl="7" w:tplc="C694BAFE">
      <w:start w:val="1"/>
      <w:numFmt w:val="lowerLetter"/>
      <w:lvlText w:val="%8."/>
      <w:lvlJc w:val="left"/>
      <w:pPr>
        <w:ind w:left="6109" w:hanging="360"/>
      </w:pPr>
    </w:lvl>
    <w:lvl w:ilvl="8" w:tplc="4044D31C">
      <w:start w:val="1"/>
      <w:numFmt w:val="lowerRoman"/>
      <w:lvlText w:val="%9."/>
      <w:lvlJc w:val="right"/>
      <w:pPr>
        <w:ind w:left="6829" w:hanging="180"/>
      </w:pPr>
    </w:lvl>
  </w:abstractNum>
  <w:abstractNum w:abstractNumId="5" w15:restartNumberingAfterBreak="0">
    <w:nsid w:val="1C0E7530"/>
    <w:multiLevelType w:val="hybridMultilevel"/>
    <w:tmpl w:val="172650C6"/>
    <w:lvl w:ilvl="0" w:tplc="283835CA">
      <w:start w:val="1"/>
      <w:numFmt w:val="decimal"/>
      <w:lvlText w:val="%1."/>
      <w:lvlJc w:val="left"/>
      <w:pPr>
        <w:ind w:left="1068" w:hanging="360"/>
      </w:pPr>
    </w:lvl>
    <w:lvl w:ilvl="1" w:tplc="F9C83702">
      <w:start w:val="1"/>
      <w:numFmt w:val="lowerLetter"/>
      <w:lvlText w:val="%2."/>
      <w:lvlJc w:val="left"/>
      <w:pPr>
        <w:ind w:left="1788" w:hanging="360"/>
      </w:pPr>
    </w:lvl>
    <w:lvl w:ilvl="2" w:tplc="CBC604C2">
      <w:start w:val="1"/>
      <w:numFmt w:val="lowerRoman"/>
      <w:lvlText w:val="%3."/>
      <w:lvlJc w:val="right"/>
      <w:pPr>
        <w:ind w:left="2508" w:hanging="180"/>
      </w:pPr>
    </w:lvl>
    <w:lvl w:ilvl="3" w:tplc="EBB05C70">
      <w:start w:val="1"/>
      <w:numFmt w:val="decimal"/>
      <w:lvlText w:val="%4."/>
      <w:lvlJc w:val="left"/>
      <w:pPr>
        <w:ind w:left="3228" w:hanging="360"/>
      </w:pPr>
    </w:lvl>
    <w:lvl w:ilvl="4" w:tplc="A704AE58">
      <w:start w:val="1"/>
      <w:numFmt w:val="lowerLetter"/>
      <w:lvlText w:val="%5."/>
      <w:lvlJc w:val="left"/>
      <w:pPr>
        <w:ind w:left="3948" w:hanging="360"/>
      </w:pPr>
    </w:lvl>
    <w:lvl w:ilvl="5" w:tplc="FBF23F3A">
      <w:start w:val="1"/>
      <w:numFmt w:val="lowerRoman"/>
      <w:lvlText w:val="%6."/>
      <w:lvlJc w:val="right"/>
      <w:pPr>
        <w:ind w:left="4668" w:hanging="180"/>
      </w:pPr>
    </w:lvl>
    <w:lvl w:ilvl="6" w:tplc="1C3227AA">
      <w:start w:val="1"/>
      <w:numFmt w:val="decimal"/>
      <w:lvlText w:val="%7."/>
      <w:lvlJc w:val="left"/>
      <w:pPr>
        <w:ind w:left="5388" w:hanging="360"/>
      </w:pPr>
    </w:lvl>
    <w:lvl w:ilvl="7" w:tplc="16D693E4">
      <w:start w:val="1"/>
      <w:numFmt w:val="lowerLetter"/>
      <w:lvlText w:val="%8."/>
      <w:lvlJc w:val="left"/>
      <w:pPr>
        <w:ind w:left="6108" w:hanging="360"/>
      </w:pPr>
    </w:lvl>
    <w:lvl w:ilvl="8" w:tplc="1F788DA8">
      <w:start w:val="1"/>
      <w:numFmt w:val="lowerRoman"/>
      <w:lvlText w:val="%9."/>
      <w:lvlJc w:val="right"/>
      <w:pPr>
        <w:ind w:left="6828" w:hanging="180"/>
      </w:pPr>
    </w:lvl>
  </w:abstractNum>
  <w:abstractNum w:abstractNumId="6" w15:restartNumberingAfterBreak="0">
    <w:nsid w:val="1F0234AC"/>
    <w:multiLevelType w:val="hybridMultilevel"/>
    <w:tmpl w:val="C6D2E514"/>
    <w:lvl w:ilvl="0" w:tplc="CB48105E">
      <w:start w:val="1"/>
      <w:numFmt w:val="decimal"/>
      <w:lvlText w:val="%1)"/>
      <w:lvlJc w:val="left"/>
      <w:pPr>
        <w:ind w:left="1068" w:hanging="360"/>
      </w:pPr>
    </w:lvl>
    <w:lvl w:ilvl="1" w:tplc="4AD0A602">
      <w:start w:val="1"/>
      <w:numFmt w:val="lowerLetter"/>
      <w:lvlText w:val="%2."/>
      <w:lvlJc w:val="left"/>
      <w:pPr>
        <w:ind w:left="1788" w:hanging="360"/>
      </w:pPr>
    </w:lvl>
    <w:lvl w:ilvl="2" w:tplc="24B6C1D6">
      <w:start w:val="1"/>
      <w:numFmt w:val="lowerRoman"/>
      <w:lvlText w:val="%3."/>
      <w:lvlJc w:val="right"/>
      <w:pPr>
        <w:ind w:left="2508" w:hanging="180"/>
      </w:pPr>
    </w:lvl>
    <w:lvl w:ilvl="3" w:tplc="A6D0EF88">
      <w:start w:val="1"/>
      <w:numFmt w:val="decimal"/>
      <w:lvlText w:val="%4."/>
      <w:lvlJc w:val="left"/>
      <w:pPr>
        <w:ind w:left="3228" w:hanging="360"/>
      </w:pPr>
    </w:lvl>
    <w:lvl w:ilvl="4" w:tplc="B6F68840">
      <w:start w:val="1"/>
      <w:numFmt w:val="lowerLetter"/>
      <w:lvlText w:val="%5."/>
      <w:lvlJc w:val="left"/>
      <w:pPr>
        <w:ind w:left="3948" w:hanging="360"/>
      </w:pPr>
    </w:lvl>
    <w:lvl w:ilvl="5" w:tplc="7DE2AD2A">
      <w:start w:val="1"/>
      <w:numFmt w:val="lowerRoman"/>
      <w:lvlText w:val="%6."/>
      <w:lvlJc w:val="right"/>
      <w:pPr>
        <w:ind w:left="4668" w:hanging="180"/>
      </w:pPr>
    </w:lvl>
    <w:lvl w:ilvl="6" w:tplc="A87C0A64">
      <w:start w:val="1"/>
      <w:numFmt w:val="decimal"/>
      <w:lvlText w:val="%7."/>
      <w:lvlJc w:val="left"/>
      <w:pPr>
        <w:ind w:left="5388" w:hanging="360"/>
      </w:pPr>
    </w:lvl>
    <w:lvl w:ilvl="7" w:tplc="1130A66C">
      <w:start w:val="1"/>
      <w:numFmt w:val="lowerLetter"/>
      <w:lvlText w:val="%8."/>
      <w:lvlJc w:val="left"/>
      <w:pPr>
        <w:ind w:left="6108" w:hanging="360"/>
      </w:pPr>
    </w:lvl>
    <w:lvl w:ilvl="8" w:tplc="14C2CF2A">
      <w:start w:val="1"/>
      <w:numFmt w:val="lowerRoman"/>
      <w:lvlText w:val="%9."/>
      <w:lvlJc w:val="right"/>
      <w:pPr>
        <w:ind w:left="6828" w:hanging="180"/>
      </w:pPr>
    </w:lvl>
  </w:abstractNum>
  <w:abstractNum w:abstractNumId="7" w15:restartNumberingAfterBreak="0">
    <w:nsid w:val="22083942"/>
    <w:multiLevelType w:val="hybridMultilevel"/>
    <w:tmpl w:val="9162E8FE"/>
    <w:lvl w:ilvl="0" w:tplc="E716E9AA">
      <w:start w:val="1"/>
      <w:numFmt w:val="decimal"/>
      <w:lvlText w:val="%1."/>
      <w:lvlJc w:val="left"/>
      <w:pPr>
        <w:ind w:left="1069" w:hanging="360"/>
      </w:pPr>
    </w:lvl>
    <w:lvl w:ilvl="1" w:tplc="E56292B8">
      <w:start w:val="1"/>
      <w:numFmt w:val="lowerLetter"/>
      <w:lvlText w:val="%2."/>
      <w:lvlJc w:val="left"/>
      <w:pPr>
        <w:ind w:left="1789" w:hanging="360"/>
      </w:pPr>
    </w:lvl>
    <w:lvl w:ilvl="2" w:tplc="3D44DE2E">
      <w:start w:val="1"/>
      <w:numFmt w:val="lowerRoman"/>
      <w:lvlText w:val="%3."/>
      <w:lvlJc w:val="right"/>
      <w:pPr>
        <w:ind w:left="2509" w:hanging="180"/>
      </w:pPr>
    </w:lvl>
    <w:lvl w:ilvl="3" w:tplc="3624926E">
      <w:start w:val="1"/>
      <w:numFmt w:val="decimal"/>
      <w:lvlText w:val="%4."/>
      <w:lvlJc w:val="left"/>
      <w:pPr>
        <w:ind w:left="3229" w:hanging="360"/>
      </w:pPr>
    </w:lvl>
    <w:lvl w:ilvl="4" w:tplc="110A2A22">
      <w:start w:val="1"/>
      <w:numFmt w:val="lowerLetter"/>
      <w:lvlText w:val="%5."/>
      <w:lvlJc w:val="left"/>
      <w:pPr>
        <w:ind w:left="3949" w:hanging="360"/>
      </w:pPr>
    </w:lvl>
    <w:lvl w:ilvl="5" w:tplc="DBAC15A2">
      <w:start w:val="1"/>
      <w:numFmt w:val="lowerRoman"/>
      <w:lvlText w:val="%6."/>
      <w:lvlJc w:val="right"/>
      <w:pPr>
        <w:ind w:left="4669" w:hanging="180"/>
      </w:pPr>
    </w:lvl>
    <w:lvl w:ilvl="6" w:tplc="6AA002DC">
      <w:start w:val="1"/>
      <w:numFmt w:val="decimal"/>
      <w:lvlText w:val="%7."/>
      <w:lvlJc w:val="left"/>
      <w:pPr>
        <w:ind w:left="5389" w:hanging="360"/>
      </w:pPr>
    </w:lvl>
    <w:lvl w:ilvl="7" w:tplc="2B9A2048">
      <w:start w:val="1"/>
      <w:numFmt w:val="lowerLetter"/>
      <w:lvlText w:val="%8."/>
      <w:lvlJc w:val="left"/>
      <w:pPr>
        <w:ind w:left="6109" w:hanging="360"/>
      </w:pPr>
    </w:lvl>
    <w:lvl w:ilvl="8" w:tplc="B44407DA">
      <w:start w:val="1"/>
      <w:numFmt w:val="lowerRoman"/>
      <w:lvlText w:val="%9."/>
      <w:lvlJc w:val="right"/>
      <w:pPr>
        <w:ind w:left="6829" w:hanging="180"/>
      </w:pPr>
    </w:lvl>
  </w:abstractNum>
  <w:abstractNum w:abstractNumId="8" w15:restartNumberingAfterBreak="0">
    <w:nsid w:val="24C008A0"/>
    <w:multiLevelType w:val="hybridMultilevel"/>
    <w:tmpl w:val="32765F78"/>
    <w:lvl w:ilvl="0" w:tplc="FDD8D898">
      <w:start w:val="1"/>
      <w:numFmt w:val="decimal"/>
      <w:lvlText w:val="%1."/>
      <w:lvlJc w:val="left"/>
      <w:pPr>
        <w:ind w:left="1819" w:hanging="1110"/>
      </w:pPr>
    </w:lvl>
    <w:lvl w:ilvl="1" w:tplc="C77C54F4">
      <w:start w:val="1"/>
      <w:numFmt w:val="lowerLetter"/>
      <w:lvlText w:val="%2."/>
      <w:lvlJc w:val="left"/>
      <w:pPr>
        <w:ind w:left="1789" w:hanging="360"/>
      </w:pPr>
    </w:lvl>
    <w:lvl w:ilvl="2" w:tplc="6A023566">
      <w:start w:val="1"/>
      <w:numFmt w:val="lowerRoman"/>
      <w:lvlText w:val="%3."/>
      <w:lvlJc w:val="right"/>
      <w:pPr>
        <w:ind w:left="2509" w:hanging="180"/>
      </w:pPr>
    </w:lvl>
    <w:lvl w:ilvl="3" w:tplc="F6C46FB2">
      <w:start w:val="1"/>
      <w:numFmt w:val="decimal"/>
      <w:lvlText w:val="%4."/>
      <w:lvlJc w:val="left"/>
      <w:pPr>
        <w:ind w:left="3229" w:hanging="360"/>
      </w:pPr>
    </w:lvl>
    <w:lvl w:ilvl="4" w:tplc="5AC492BE">
      <w:start w:val="1"/>
      <w:numFmt w:val="lowerLetter"/>
      <w:lvlText w:val="%5."/>
      <w:lvlJc w:val="left"/>
      <w:pPr>
        <w:ind w:left="3949" w:hanging="360"/>
      </w:pPr>
    </w:lvl>
    <w:lvl w:ilvl="5" w:tplc="E74E1D40">
      <w:start w:val="1"/>
      <w:numFmt w:val="lowerRoman"/>
      <w:lvlText w:val="%6."/>
      <w:lvlJc w:val="right"/>
      <w:pPr>
        <w:ind w:left="4669" w:hanging="180"/>
      </w:pPr>
    </w:lvl>
    <w:lvl w:ilvl="6" w:tplc="6D4A5266">
      <w:start w:val="1"/>
      <w:numFmt w:val="decimal"/>
      <w:lvlText w:val="%7."/>
      <w:lvlJc w:val="left"/>
      <w:pPr>
        <w:ind w:left="5389" w:hanging="360"/>
      </w:pPr>
    </w:lvl>
    <w:lvl w:ilvl="7" w:tplc="A18283BC">
      <w:start w:val="1"/>
      <w:numFmt w:val="lowerLetter"/>
      <w:lvlText w:val="%8."/>
      <w:lvlJc w:val="left"/>
      <w:pPr>
        <w:ind w:left="6109" w:hanging="360"/>
      </w:pPr>
    </w:lvl>
    <w:lvl w:ilvl="8" w:tplc="2C121F7E">
      <w:start w:val="1"/>
      <w:numFmt w:val="lowerRoman"/>
      <w:lvlText w:val="%9."/>
      <w:lvlJc w:val="right"/>
      <w:pPr>
        <w:ind w:left="6829" w:hanging="180"/>
      </w:pPr>
    </w:lvl>
  </w:abstractNum>
  <w:abstractNum w:abstractNumId="9" w15:restartNumberingAfterBreak="0">
    <w:nsid w:val="27077BE6"/>
    <w:multiLevelType w:val="hybridMultilevel"/>
    <w:tmpl w:val="0A861814"/>
    <w:lvl w:ilvl="0" w:tplc="10E2EBB4">
      <w:start w:val="1"/>
      <w:numFmt w:val="decimal"/>
      <w:lvlText w:val="%1."/>
      <w:lvlJc w:val="left"/>
      <w:pPr>
        <w:ind w:left="1069" w:hanging="360"/>
      </w:pPr>
    </w:lvl>
    <w:lvl w:ilvl="1" w:tplc="FD4AB5B4">
      <w:start w:val="1"/>
      <w:numFmt w:val="lowerLetter"/>
      <w:lvlText w:val="%2."/>
      <w:lvlJc w:val="left"/>
      <w:pPr>
        <w:ind w:left="1789" w:hanging="360"/>
      </w:pPr>
    </w:lvl>
    <w:lvl w:ilvl="2" w:tplc="2DD82052">
      <w:start w:val="1"/>
      <w:numFmt w:val="lowerRoman"/>
      <w:lvlText w:val="%3."/>
      <w:lvlJc w:val="right"/>
      <w:pPr>
        <w:ind w:left="2509" w:hanging="180"/>
      </w:pPr>
    </w:lvl>
    <w:lvl w:ilvl="3" w:tplc="57E41B94">
      <w:start w:val="1"/>
      <w:numFmt w:val="decimal"/>
      <w:lvlText w:val="%4."/>
      <w:lvlJc w:val="left"/>
      <w:pPr>
        <w:ind w:left="3229" w:hanging="360"/>
      </w:pPr>
    </w:lvl>
    <w:lvl w:ilvl="4" w:tplc="4378DDA4">
      <w:start w:val="1"/>
      <w:numFmt w:val="lowerLetter"/>
      <w:lvlText w:val="%5."/>
      <w:lvlJc w:val="left"/>
      <w:pPr>
        <w:ind w:left="3949" w:hanging="360"/>
      </w:pPr>
    </w:lvl>
    <w:lvl w:ilvl="5" w:tplc="5C78DD6E">
      <w:start w:val="1"/>
      <w:numFmt w:val="lowerRoman"/>
      <w:lvlText w:val="%6."/>
      <w:lvlJc w:val="right"/>
      <w:pPr>
        <w:ind w:left="4669" w:hanging="180"/>
      </w:pPr>
    </w:lvl>
    <w:lvl w:ilvl="6" w:tplc="40625650">
      <w:start w:val="1"/>
      <w:numFmt w:val="decimal"/>
      <w:lvlText w:val="%7."/>
      <w:lvlJc w:val="left"/>
      <w:pPr>
        <w:ind w:left="5389" w:hanging="360"/>
      </w:pPr>
    </w:lvl>
    <w:lvl w:ilvl="7" w:tplc="A21811DC">
      <w:start w:val="1"/>
      <w:numFmt w:val="lowerLetter"/>
      <w:lvlText w:val="%8."/>
      <w:lvlJc w:val="left"/>
      <w:pPr>
        <w:ind w:left="6109" w:hanging="360"/>
      </w:pPr>
    </w:lvl>
    <w:lvl w:ilvl="8" w:tplc="A5260DB6">
      <w:start w:val="1"/>
      <w:numFmt w:val="lowerRoman"/>
      <w:lvlText w:val="%9."/>
      <w:lvlJc w:val="right"/>
      <w:pPr>
        <w:ind w:left="6829" w:hanging="180"/>
      </w:pPr>
    </w:lvl>
  </w:abstractNum>
  <w:abstractNum w:abstractNumId="10" w15:restartNumberingAfterBreak="0">
    <w:nsid w:val="29D751D9"/>
    <w:multiLevelType w:val="hybridMultilevel"/>
    <w:tmpl w:val="75A24E82"/>
    <w:lvl w:ilvl="0" w:tplc="200491AC">
      <w:start w:val="1"/>
      <w:numFmt w:val="decimal"/>
      <w:lvlText w:val="%1)"/>
      <w:lvlJc w:val="left"/>
      <w:pPr>
        <w:ind w:left="1069" w:hanging="360"/>
      </w:pPr>
    </w:lvl>
    <w:lvl w:ilvl="1" w:tplc="F2788924">
      <w:start w:val="1"/>
      <w:numFmt w:val="lowerLetter"/>
      <w:lvlText w:val="%2."/>
      <w:lvlJc w:val="left"/>
      <w:pPr>
        <w:ind w:left="1789" w:hanging="360"/>
      </w:pPr>
    </w:lvl>
    <w:lvl w:ilvl="2" w:tplc="C7023D96">
      <w:start w:val="1"/>
      <w:numFmt w:val="lowerRoman"/>
      <w:lvlText w:val="%3."/>
      <w:lvlJc w:val="right"/>
      <w:pPr>
        <w:ind w:left="2509" w:hanging="180"/>
      </w:pPr>
    </w:lvl>
    <w:lvl w:ilvl="3" w:tplc="2A0689AA">
      <w:start w:val="1"/>
      <w:numFmt w:val="decimal"/>
      <w:lvlText w:val="%4."/>
      <w:lvlJc w:val="left"/>
      <w:pPr>
        <w:ind w:left="3229" w:hanging="360"/>
      </w:pPr>
    </w:lvl>
    <w:lvl w:ilvl="4" w:tplc="AF8E4792">
      <w:start w:val="1"/>
      <w:numFmt w:val="lowerLetter"/>
      <w:lvlText w:val="%5."/>
      <w:lvlJc w:val="left"/>
      <w:pPr>
        <w:ind w:left="3949" w:hanging="360"/>
      </w:pPr>
    </w:lvl>
    <w:lvl w:ilvl="5" w:tplc="2CF87DC0">
      <w:start w:val="1"/>
      <w:numFmt w:val="lowerRoman"/>
      <w:lvlText w:val="%6."/>
      <w:lvlJc w:val="right"/>
      <w:pPr>
        <w:ind w:left="4669" w:hanging="180"/>
      </w:pPr>
    </w:lvl>
    <w:lvl w:ilvl="6" w:tplc="B3788ABC">
      <w:start w:val="1"/>
      <w:numFmt w:val="decimal"/>
      <w:lvlText w:val="%7."/>
      <w:lvlJc w:val="left"/>
      <w:pPr>
        <w:ind w:left="5389" w:hanging="360"/>
      </w:pPr>
    </w:lvl>
    <w:lvl w:ilvl="7" w:tplc="B09E254C">
      <w:start w:val="1"/>
      <w:numFmt w:val="lowerLetter"/>
      <w:lvlText w:val="%8."/>
      <w:lvlJc w:val="left"/>
      <w:pPr>
        <w:ind w:left="6109" w:hanging="360"/>
      </w:pPr>
    </w:lvl>
    <w:lvl w:ilvl="8" w:tplc="4EEE7292">
      <w:start w:val="1"/>
      <w:numFmt w:val="lowerRoman"/>
      <w:lvlText w:val="%9."/>
      <w:lvlJc w:val="right"/>
      <w:pPr>
        <w:ind w:left="6829" w:hanging="180"/>
      </w:pPr>
    </w:lvl>
  </w:abstractNum>
  <w:abstractNum w:abstractNumId="11" w15:restartNumberingAfterBreak="0">
    <w:nsid w:val="33A2102D"/>
    <w:multiLevelType w:val="hybridMultilevel"/>
    <w:tmpl w:val="6CCA03E8"/>
    <w:lvl w:ilvl="0" w:tplc="4B7AE360">
      <w:start w:val="1"/>
      <w:numFmt w:val="decimal"/>
      <w:lvlText w:val="%1."/>
      <w:lvlJc w:val="left"/>
      <w:pPr>
        <w:ind w:left="1069" w:hanging="360"/>
      </w:pPr>
    </w:lvl>
    <w:lvl w:ilvl="1" w:tplc="70784342">
      <w:start w:val="1"/>
      <w:numFmt w:val="lowerLetter"/>
      <w:lvlText w:val="%2."/>
      <w:lvlJc w:val="left"/>
      <w:pPr>
        <w:ind w:left="1789" w:hanging="360"/>
      </w:pPr>
    </w:lvl>
    <w:lvl w:ilvl="2" w:tplc="BFB4E7FE">
      <w:start w:val="1"/>
      <w:numFmt w:val="lowerRoman"/>
      <w:lvlText w:val="%3."/>
      <w:lvlJc w:val="right"/>
      <w:pPr>
        <w:ind w:left="2509" w:hanging="180"/>
      </w:pPr>
    </w:lvl>
    <w:lvl w:ilvl="3" w:tplc="9C96B572">
      <w:start w:val="1"/>
      <w:numFmt w:val="decimal"/>
      <w:lvlText w:val="%4."/>
      <w:lvlJc w:val="left"/>
      <w:pPr>
        <w:ind w:left="3229" w:hanging="360"/>
      </w:pPr>
    </w:lvl>
    <w:lvl w:ilvl="4" w:tplc="8B803132">
      <w:start w:val="1"/>
      <w:numFmt w:val="lowerLetter"/>
      <w:lvlText w:val="%5."/>
      <w:lvlJc w:val="left"/>
      <w:pPr>
        <w:ind w:left="3949" w:hanging="360"/>
      </w:pPr>
    </w:lvl>
    <w:lvl w:ilvl="5" w:tplc="DA966A3A">
      <w:start w:val="1"/>
      <w:numFmt w:val="lowerRoman"/>
      <w:lvlText w:val="%6."/>
      <w:lvlJc w:val="right"/>
      <w:pPr>
        <w:ind w:left="4669" w:hanging="180"/>
      </w:pPr>
    </w:lvl>
    <w:lvl w:ilvl="6" w:tplc="99ACDFA2">
      <w:start w:val="1"/>
      <w:numFmt w:val="decimal"/>
      <w:lvlText w:val="%7."/>
      <w:lvlJc w:val="left"/>
      <w:pPr>
        <w:ind w:left="5389" w:hanging="360"/>
      </w:pPr>
    </w:lvl>
    <w:lvl w:ilvl="7" w:tplc="C352A5D6">
      <w:start w:val="1"/>
      <w:numFmt w:val="lowerLetter"/>
      <w:lvlText w:val="%8."/>
      <w:lvlJc w:val="left"/>
      <w:pPr>
        <w:ind w:left="6109" w:hanging="360"/>
      </w:pPr>
    </w:lvl>
    <w:lvl w:ilvl="8" w:tplc="9ED61828">
      <w:start w:val="1"/>
      <w:numFmt w:val="lowerRoman"/>
      <w:lvlText w:val="%9."/>
      <w:lvlJc w:val="right"/>
      <w:pPr>
        <w:ind w:left="6829" w:hanging="180"/>
      </w:pPr>
    </w:lvl>
  </w:abstractNum>
  <w:abstractNum w:abstractNumId="12" w15:restartNumberingAfterBreak="0">
    <w:nsid w:val="3A6F63C6"/>
    <w:multiLevelType w:val="hybridMultilevel"/>
    <w:tmpl w:val="BC04608C"/>
    <w:lvl w:ilvl="0" w:tplc="40EC1870">
      <w:start w:val="1"/>
      <w:numFmt w:val="decimal"/>
      <w:lvlText w:val="%1."/>
      <w:lvlJc w:val="left"/>
      <w:pPr>
        <w:ind w:left="1069" w:hanging="360"/>
      </w:pPr>
    </w:lvl>
    <w:lvl w:ilvl="1" w:tplc="FE76972E">
      <w:start w:val="1"/>
      <w:numFmt w:val="lowerLetter"/>
      <w:lvlText w:val="%2."/>
      <w:lvlJc w:val="left"/>
      <w:pPr>
        <w:ind w:left="1789" w:hanging="360"/>
      </w:pPr>
    </w:lvl>
    <w:lvl w:ilvl="2" w:tplc="610684AA">
      <w:start w:val="1"/>
      <w:numFmt w:val="lowerRoman"/>
      <w:lvlText w:val="%3."/>
      <w:lvlJc w:val="right"/>
      <w:pPr>
        <w:ind w:left="2509" w:hanging="180"/>
      </w:pPr>
    </w:lvl>
    <w:lvl w:ilvl="3" w:tplc="E1785A16">
      <w:start w:val="1"/>
      <w:numFmt w:val="decimal"/>
      <w:lvlText w:val="%4."/>
      <w:lvlJc w:val="left"/>
      <w:pPr>
        <w:ind w:left="3229" w:hanging="360"/>
      </w:pPr>
    </w:lvl>
    <w:lvl w:ilvl="4" w:tplc="6D78241C">
      <w:start w:val="1"/>
      <w:numFmt w:val="lowerLetter"/>
      <w:lvlText w:val="%5."/>
      <w:lvlJc w:val="left"/>
      <w:pPr>
        <w:ind w:left="3949" w:hanging="360"/>
      </w:pPr>
    </w:lvl>
    <w:lvl w:ilvl="5" w:tplc="9A540ED0">
      <w:start w:val="1"/>
      <w:numFmt w:val="lowerRoman"/>
      <w:lvlText w:val="%6."/>
      <w:lvlJc w:val="right"/>
      <w:pPr>
        <w:ind w:left="4669" w:hanging="180"/>
      </w:pPr>
    </w:lvl>
    <w:lvl w:ilvl="6" w:tplc="838ABEA4">
      <w:start w:val="1"/>
      <w:numFmt w:val="decimal"/>
      <w:lvlText w:val="%7."/>
      <w:lvlJc w:val="left"/>
      <w:pPr>
        <w:ind w:left="5389" w:hanging="360"/>
      </w:pPr>
    </w:lvl>
    <w:lvl w:ilvl="7" w:tplc="492A35B8">
      <w:start w:val="1"/>
      <w:numFmt w:val="lowerLetter"/>
      <w:lvlText w:val="%8."/>
      <w:lvlJc w:val="left"/>
      <w:pPr>
        <w:ind w:left="6109" w:hanging="360"/>
      </w:pPr>
    </w:lvl>
    <w:lvl w:ilvl="8" w:tplc="5C0CC73C">
      <w:start w:val="1"/>
      <w:numFmt w:val="lowerRoman"/>
      <w:lvlText w:val="%9."/>
      <w:lvlJc w:val="right"/>
      <w:pPr>
        <w:ind w:left="6829" w:hanging="180"/>
      </w:pPr>
    </w:lvl>
  </w:abstractNum>
  <w:abstractNum w:abstractNumId="13" w15:restartNumberingAfterBreak="0">
    <w:nsid w:val="43612194"/>
    <w:multiLevelType w:val="hybridMultilevel"/>
    <w:tmpl w:val="E4204BF2"/>
    <w:lvl w:ilvl="0" w:tplc="FA90FC78">
      <w:start w:val="1"/>
      <w:numFmt w:val="decimal"/>
      <w:lvlText w:val="%1)"/>
      <w:lvlJc w:val="left"/>
      <w:pPr>
        <w:ind w:left="1069" w:hanging="360"/>
      </w:pPr>
    </w:lvl>
    <w:lvl w:ilvl="1" w:tplc="255CAD6E">
      <w:start w:val="1"/>
      <w:numFmt w:val="lowerLetter"/>
      <w:lvlText w:val="%2."/>
      <w:lvlJc w:val="left"/>
      <w:pPr>
        <w:ind w:left="1789" w:hanging="360"/>
      </w:pPr>
    </w:lvl>
    <w:lvl w:ilvl="2" w:tplc="FEFC9788">
      <w:start w:val="1"/>
      <w:numFmt w:val="lowerRoman"/>
      <w:lvlText w:val="%3."/>
      <w:lvlJc w:val="right"/>
      <w:pPr>
        <w:ind w:left="2509" w:hanging="180"/>
      </w:pPr>
    </w:lvl>
    <w:lvl w:ilvl="3" w:tplc="BACCA81E">
      <w:start w:val="1"/>
      <w:numFmt w:val="decimal"/>
      <w:lvlText w:val="%4."/>
      <w:lvlJc w:val="left"/>
      <w:pPr>
        <w:ind w:left="3229" w:hanging="360"/>
      </w:pPr>
    </w:lvl>
    <w:lvl w:ilvl="4" w:tplc="2E34CF3A">
      <w:start w:val="1"/>
      <w:numFmt w:val="lowerLetter"/>
      <w:lvlText w:val="%5."/>
      <w:lvlJc w:val="left"/>
      <w:pPr>
        <w:ind w:left="3949" w:hanging="360"/>
      </w:pPr>
    </w:lvl>
    <w:lvl w:ilvl="5" w:tplc="853A74F0">
      <w:start w:val="1"/>
      <w:numFmt w:val="lowerRoman"/>
      <w:lvlText w:val="%6."/>
      <w:lvlJc w:val="right"/>
      <w:pPr>
        <w:ind w:left="4669" w:hanging="180"/>
      </w:pPr>
    </w:lvl>
    <w:lvl w:ilvl="6" w:tplc="859C35F8">
      <w:start w:val="1"/>
      <w:numFmt w:val="decimal"/>
      <w:lvlText w:val="%7."/>
      <w:lvlJc w:val="left"/>
      <w:pPr>
        <w:ind w:left="5389" w:hanging="360"/>
      </w:pPr>
    </w:lvl>
    <w:lvl w:ilvl="7" w:tplc="BD0C280E">
      <w:start w:val="1"/>
      <w:numFmt w:val="lowerLetter"/>
      <w:lvlText w:val="%8."/>
      <w:lvlJc w:val="left"/>
      <w:pPr>
        <w:ind w:left="6109" w:hanging="360"/>
      </w:pPr>
    </w:lvl>
    <w:lvl w:ilvl="8" w:tplc="1B3658E2">
      <w:start w:val="1"/>
      <w:numFmt w:val="lowerRoman"/>
      <w:lvlText w:val="%9."/>
      <w:lvlJc w:val="right"/>
      <w:pPr>
        <w:ind w:left="6829" w:hanging="180"/>
      </w:pPr>
    </w:lvl>
  </w:abstractNum>
  <w:abstractNum w:abstractNumId="14" w15:restartNumberingAfterBreak="0">
    <w:nsid w:val="44984797"/>
    <w:multiLevelType w:val="hybridMultilevel"/>
    <w:tmpl w:val="6DF00266"/>
    <w:lvl w:ilvl="0" w:tplc="850C814E">
      <w:start w:val="1"/>
      <w:numFmt w:val="decimal"/>
      <w:lvlText w:val="%1)"/>
      <w:lvlJc w:val="left"/>
      <w:pPr>
        <w:ind w:left="1069" w:hanging="360"/>
      </w:pPr>
    </w:lvl>
    <w:lvl w:ilvl="1" w:tplc="2DEC095A">
      <w:start w:val="1"/>
      <w:numFmt w:val="lowerLetter"/>
      <w:lvlText w:val="%2."/>
      <w:lvlJc w:val="left"/>
      <w:pPr>
        <w:ind w:left="1789" w:hanging="360"/>
      </w:pPr>
    </w:lvl>
    <w:lvl w:ilvl="2" w:tplc="16E23152">
      <w:start w:val="1"/>
      <w:numFmt w:val="lowerRoman"/>
      <w:lvlText w:val="%3."/>
      <w:lvlJc w:val="right"/>
      <w:pPr>
        <w:ind w:left="2509" w:hanging="180"/>
      </w:pPr>
    </w:lvl>
    <w:lvl w:ilvl="3" w:tplc="80DCF550">
      <w:start w:val="1"/>
      <w:numFmt w:val="decimal"/>
      <w:lvlText w:val="%4."/>
      <w:lvlJc w:val="left"/>
      <w:pPr>
        <w:ind w:left="3229" w:hanging="360"/>
      </w:pPr>
    </w:lvl>
    <w:lvl w:ilvl="4" w:tplc="C8DAF770">
      <w:start w:val="1"/>
      <w:numFmt w:val="lowerLetter"/>
      <w:lvlText w:val="%5."/>
      <w:lvlJc w:val="left"/>
      <w:pPr>
        <w:ind w:left="3949" w:hanging="360"/>
      </w:pPr>
    </w:lvl>
    <w:lvl w:ilvl="5" w:tplc="05F016AC">
      <w:start w:val="1"/>
      <w:numFmt w:val="lowerRoman"/>
      <w:lvlText w:val="%6."/>
      <w:lvlJc w:val="right"/>
      <w:pPr>
        <w:ind w:left="4669" w:hanging="180"/>
      </w:pPr>
    </w:lvl>
    <w:lvl w:ilvl="6" w:tplc="40AA4C4C">
      <w:start w:val="1"/>
      <w:numFmt w:val="decimal"/>
      <w:lvlText w:val="%7."/>
      <w:lvlJc w:val="left"/>
      <w:pPr>
        <w:ind w:left="5389" w:hanging="360"/>
      </w:pPr>
    </w:lvl>
    <w:lvl w:ilvl="7" w:tplc="87D0AA6A">
      <w:start w:val="1"/>
      <w:numFmt w:val="lowerLetter"/>
      <w:lvlText w:val="%8."/>
      <w:lvlJc w:val="left"/>
      <w:pPr>
        <w:ind w:left="6109" w:hanging="360"/>
      </w:pPr>
    </w:lvl>
    <w:lvl w:ilvl="8" w:tplc="34DC4238">
      <w:start w:val="1"/>
      <w:numFmt w:val="lowerRoman"/>
      <w:lvlText w:val="%9."/>
      <w:lvlJc w:val="right"/>
      <w:pPr>
        <w:ind w:left="6829" w:hanging="180"/>
      </w:pPr>
    </w:lvl>
  </w:abstractNum>
  <w:abstractNum w:abstractNumId="15" w15:restartNumberingAfterBreak="0">
    <w:nsid w:val="49BF6288"/>
    <w:multiLevelType w:val="hybridMultilevel"/>
    <w:tmpl w:val="90D24CE8"/>
    <w:lvl w:ilvl="0" w:tplc="B866BE4E">
      <w:start w:val="1"/>
      <w:numFmt w:val="decimal"/>
      <w:lvlText w:val="%1."/>
      <w:lvlJc w:val="left"/>
      <w:pPr>
        <w:ind w:left="1068" w:hanging="360"/>
      </w:pPr>
    </w:lvl>
    <w:lvl w:ilvl="1" w:tplc="6D9C741E">
      <w:start w:val="1"/>
      <w:numFmt w:val="lowerLetter"/>
      <w:lvlText w:val="%2."/>
      <w:lvlJc w:val="left"/>
      <w:pPr>
        <w:ind w:left="1788" w:hanging="360"/>
      </w:pPr>
    </w:lvl>
    <w:lvl w:ilvl="2" w:tplc="068EEB6E">
      <w:start w:val="1"/>
      <w:numFmt w:val="lowerRoman"/>
      <w:lvlText w:val="%3."/>
      <w:lvlJc w:val="right"/>
      <w:pPr>
        <w:ind w:left="2508" w:hanging="180"/>
      </w:pPr>
    </w:lvl>
    <w:lvl w:ilvl="3" w:tplc="993E6E20">
      <w:start w:val="1"/>
      <w:numFmt w:val="decimal"/>
      <w:lvlText w:val="%4."/>
      <w:lvlJc w:val="left"/>
      <w:pPr>
        <w:ind w:left="3228" w:hanging="360"/>
      </w:pPr>
    </w:lvl>
    <w:lvl w:ilvl="4" w:tplc="1F102430">
      <w:start w:val="1"/>
      <w:numFmt w:val="lowerLetter"/>
      <w:lvlText w:val="%5."/>
      <w:lvlJc w:val="left"/>
      <w:pPr>
        <w:ind w:left="3948" w:hanging="360"/>
      </w:pPr>
    </w:lvl>
    <w:lvl w:ilvl="5" w:tplc="A532071A">
      <w:start w:val="1"/>
      <w:numFmt w:val="lowerRoman"/>
      <w:lvlText w:val="%6."/>
      <w:lvlJc w:val="right"/>
      <w:pPr>
        <w:ind w:left="4668" w:hanging="180"/>
      </w:pPr>
    </w:lvl>
    <w:lvl w:ilvl="6" w:tplc="A8D8D01A">
      <w:start w:val="1"/>
      <w:numFmt w:val="decimal"/>
      <w:lvlText w:val="%7."/>
      <w:lvlJc w:val="left"/>
      <w:pPr>
        <w:ind w:left="5388" w:hanging="360"/>
      </w:pPr>
    </w:lvl>
    <w:lvl w:ilvl="7" w:tplc="15DE6CC2">
      <w:start w:val="1"/>
      <w:numFmt w:val="lowerLetter"/>
      <w:lvlText w:val="%8."/>
      <w:lvlJc w:val="left"/>
      <w:pPr>
        <w:ind w:left="6108" w:hanging="360"/>
      </w:pPr>
    </w:lvl>
    <w:lvl w:ilvl="8" w:tplc="C56A2132">
      <w:start w:val="1"/>
      <w:numFmt w:val="lowerRoman"/>
      <w:lvlText w:val="%9."/>
      <w:lvlJc w:val="right"/>
      <w:pPr>
        <w:ind w:left="6828" w:hanging="180"/>
      </w:pPr>
    </w:lvl>
  </w:abstractNum>
  <w:abstractNum w:abstractNumId="16" w15:restartNumberingAfterBreak="0">
    <w:nsid w:val="4A1E213E"/>
    <w:multiLevelType w:val="hybridMultilevel"/>
    <w:tmpl w:val="1A6ACD26"/>
    <w:lvl w:ilvl="0" w:tplc="D24A1E02">
      <w:start w:val="1"/>
      <w:numFmt w:val="decimal"/>
      <w:lvlText w:val="%1."/>
      <w:lvlJc w:val="left"/>
      <w:pPr>
        <w:ind w:left="720" w:hanging="360"/>
      </w:pPr>
    </w:lvl>
    <w:lvl w:ilvl="1" w:tplc="A886C9E8">
      <w:start w:val="1"/>
      <w:numFmt w:val="lowerLetter"/>
      <w:lvlText w:val="%2."/>
      <w:lvlJc w:val="left"/>
      <w:pPr>
        <w:ind w:left="1440" w:hanging="360"/>
      </w:pPr>
    </w:lvl>
    <w:lvl w:ilvl="2" w:tplc="60AC254A">
      <w:start w:val="1"/>
      <w:numFmt w:val="lowerRoman"/>
      <w:lvlText w:val="%3."/>
      <w:lvlJc w:val="right"/>
      <w:pPr>
        <w:ind w:left="2160" w:hanging="180"/>
      </w:pPr>
    </w:lvl>
    <w:lvl w:ilvl="3" w:tplc="D3AAB7B8">
      <w:start w:val="1"/>
      <w:numFmt w:val="decimal"/>
      <w:lvlText w:val="%4."/>
      <w:lvlJc w:val="left"/>
      <w:pPr>
        <w:ind w:left="2880" w:hanging="360"/>
      </w:pPr>
    </w:lvl>
    <w:lvl w:ilvl="4" w:tplc="C4347540">
      <w:start w:val="1"/>
      <w:numFmt w:val="lowerLetter"/>
      <w:lvlText w:val="%5."/>
      <w:lvlJc w:val="left"/>
      <w:pPr>
        <w:ind w:left="3600" w:hanging="360"/>
      </w:pPr>
    </w:lvl>
    <w:lvl w:ilvl="5" w:tplc="A4D29740">
      <w:start w:val="1"/>
      <w:numFmt w:val="lowerRoman"/>
      <w:lvlText w:val="%6."/>
      <w:lvlJc w:val="right"/>
      <w:pPr>
        <w:ind w:left="4320" w:hanging="180"/>
      </w:pPr>
    </w:lvl>
    <w:lvl w:ilvl="6" w:tplc="E2DC9776">
      <w:start w:val="1"/>
      <w:numFmt w:val="decimal"/>
      <w:lvlText w:val="%7."/>
      <w:lvlJc w:val="left"/>
      <w:pPr>
        <w:ind w:left="5040" w:hanging="360"/>
      </w:pPr>
    </w:lvl>
    <w:lvl w:ilvl="7" w:tplc="0A884DDE">
      <w:start w:val="1"/>
      <w:numFmt w:val="lowerLetter"/>
      <w:lvlText w:val="%8."/>
      <w:lvlJc w:val="left"/>
      <w:pPr>
        <w:ind w:left="5760" w:hanging="360"/>
      </w:pPr>
    </w:lvl>
    <w:lvl w:ilvl="8" w:tplc="C0E2389C">
      <w:start w:val="1"/>
      <w:numFmt w:val="lowerRoman"/>
      <w:lvlText w:val="%9."/>
      <w:lvlJc w:val="right"/>
      <w:pPr>
        <w:ind w:left="6480" w:hanging="180"/>
      </w:pPr>
    </w:lvl>
  </w:abstractNum>
  <w:abstractNum w:abstractNumId="17" w15:restartNumberingAfterBreak="0">
    <w:nsid w:val="4AE03627"/>
    <w:multiLevelType w:val="hybridMultilevel"/>
    <w:tmpl w:val="748A3004"/>
    <w:lvl w:ilvl="0" w:tplc="649E7B76">
      <w:start w:val="1"/>
      <w:numFmt w:val="decimal"/>
      <w:lvlText w:val="%1."/>
      <w:lvlJc w:val="left"/>
      <w:pPr>
        <w:ind w:left="720" w:hanging="360"/>
      </w:pPr>
    </w:lvl>
    <w:lvl w:ilvl="1" w:tplc="DDC8CF86">
      <w:start w:val="1"/>
      <w:numFmt w:val="lowerLetter"/>
      <w:lvlText w:val="%2."/>
      <w:lvlJc w:val="left"/>
      <w:pPr>
        <w:ind w:left="1440" w:hanging="360"/>
      </w:pPr>
    </w:lvl>
    <w:lvl w:ilvl="2" w:tplc="D8AA7D2A">
      <w:start w:val="1"/>
      <w:numFmt w:val="lowerRoman"/>
      <w:lvlText w:val="%3."/>
      <w:lvlJc w:val="right"/>
      <w:pPr>
        <w:ind w:left="2160" w:hanging="180"/>
      </w:pPr>
    </w:lvl>
    <w:lvl w:ilvl="3" w:tplc="1F52E1E4">
      <w:start w:val="1"/>
      <w:numFmt w:val="decimal"/>
      <w:lvlText w:val="%4."/>
      <w:lvlJc w:val="left"/>
      <w:pPr>
        <w:ind w:left="2880" w:hanging="360"/>
      </w:pPr>
    </w:lvl>
    <w:lvl w:ilvl="4" w:tplc="88CED01C">
      <w:start w:val="1"/>
      <w:numFmt w:val="lowerLetter"/>
      <w:lvlText w:val="%5."/>
      <w:lvlJc w:val="left"/>
      <w:pPr>
        <w:ind w:left="3600" w:hanging="360"/>
      </w:pPr>
    </w:lvl>
    <w:lvl w:ilvl="5" w:tplc="3B7EA5E8">
      <w:start w:val="1"/>
      <w:numFmt w:val="lowerRoman"/>
      <w:lvlText w:val="%6."/>
      <w:lvlJc w:val="right"/>
      <w:pPr>
        <w:ind w:left="4320" w:hanging="180"/>
      </w:pPr>
    </w:lvl>
    <w:lvl w:ilvl="6" w:tplc="511C08C0">
      <w:start w:val="1"/>
      <w:numFmt w:val="decimal"/>
      <w:lvlText w:val="%7."/>
      <w:lvlJc w:val="left"/>
      <w:pPr>
        <w:ind w:left="5040" w:hanging="360"/>
      </w:pPr>
    </w:lvl>
    <w:lvl w:ilvl="7" w:tplc="2880FEA8">
      <w:start w:val="1"/>
      <w:numFmt w:val="lowerLetter"/>
      <w:lvlText w:val="%8."/>
      <w:lvlJc w:val="left"/>
      <w:pPr>
        <w:ind w:left="5760" w:hanging="360"/>
      </w:pPr>
    </w:lvl>
    <w:lvl w:ilvl="8" w:tplc="09DC7F6E">
      <w:start w:val="1"/>
      <w:numFmt w:val="lowerRoman"/>
      <w:lvlText w:val="%9."/>
      <w:lvlJc w:val="right"/>
      <w:pPr>
        <w:ind w:left="6480" w:hanging="180"/>
      </w:pPr>
    </w:lvl>
  </w:abstractNum>
  <w:abstractNum w:abstractNumId="18" w15:restartNumberingAfterBreak="0">
    <w:nsid w:val="4B1E7102"/>
    <w:multiLevelType w:val="hybridMultilevel"/>
    <w:tmpl w:val="77B4AE60"/>
    <w:lvl w:ilvl="0" w:tplc="49D040E6">
      <w:start w:val="1"/>
      <w:numFmt w:val="decimal"/>
      <w:lvlText w:val="%1)"/>
      <w:lvlJc w:val="left"/>
      <w:pPr>
        <w:ind w:left="1065" w:hanging="360"/>
      </w:pPr>
    </w:lvl>
    <w:lvl w:ilvl="1" w:tplc="31701F92">
      <w:start w:val="1"/>
      <w:numFmt w:val="lowerLetter"/>
      <w:lvlText w:val="%2."/>
      <w:lvlJc w:val="left"/>
      <w:pPr>
        <w:ind w:left="1785" w:hanging="360"/>
      </w:pPr>
    </w:lvl>
    <w:lvl w:ilvl="2" w:tplc="9CB451C2">
      <w:start w:val="1"/>
      <w:numFmt w:val="lowerRoman"/>
      <w:lvlText w:val="%3."/>
      <w:lvlJc w:val="right"/>
      <w:pPr>
        <w:ind w:left="2505" w:hanging="180"/>
      </w:pPr>
    </w:lvl>
    <w:lvl w:ilvl="3" w:tplc="09C2A896">
      <w:start w:val="1"/>
      <w:numFmt w:val="decimal"/>
      <w:lvlText w:val="%4."/>
      <w:lvlJc w:val="left"/>
      <w:pPr>
        <w:ind w:left="3225" w:hanging="360"/>
      </w:pPr>
    </w:lvl>
    <w:lvl w:ilvl="4" w:tplc="F47CBBD6">
      <w:start w:val="1"/>
      <w:numFmt w:val="lowerLetter"/>
      <w:lvlText w:val="%5."/>
      <w:lvlJc w:val="left"/>
      <w:pPr>
        <w:ind w:left="3945" w:hanging="360"/>
      </w:pPr>
    </w:lvl>
    <w:lvl w:ilvl="5" w:tplc="AC6AD5AE">
      <w:start w:val="1"/>
      <w:numFmt w:val="lowerRoman"/>
      <w:lvlText w:val="%6."/>
      <w:lvlJc w:val="right"/>
      <w:pPr>
        <w:ind w:left="4665" w:hanging="180"/>
      </w:pPr>
    </w:lvl>
    <w:lvl w:ilvl="6" w:tplc="155E27E8">
      <w:start w:val="1"/>
      <w:numFmt w:val="decimal"/>
      <w:lvlText w:val="%7."/>
      <w:lvlJc w:val="left"/>
      <w:pPr>
        <w:ind w:left="5385" w:hanging="360"/>
      </w:pPr>
    </w:lvl>
    <w:lvl w:ilvl="7" w:tplc="4A30972C">
      <w:start w:val="1"/>
      <w:numFmt w:val="lowerLetter"/>
      <w:lvlText w:val="%8."/>
      <w:lvlJc w:val="left"/>
      <w:pPr>
        <w:ind w:left="6105" w:hanging="360"/>
      </w:pPr>
    </w:lvl>
    <w:lvl w:ilvl="8" w:tplc="0EECEB8A">
      <w:start w:val="1"/>
      <w:numFmt w:val="lowerRoman"/>
      <w:lvlText w:val="%9."/>
      <w:lvlJc w:val="right"/>
      <w:pPr>
        <w:ind w:left="6825" w:hanging="180"/>
      </w:pPr>
    </w:lvl>
  </w:abstractNum>
  <w:abstractNum w:abstractNumId="19" w15:restartNumberingAfterBreak="0">
    <w:nsid w:val="4D4341D3"/>
    <w:multiLevelType w:val="hybridMultilevel"/>
    <w:tmpl w:val="F17CB7DC"/>
    <w:lvl w:ilvl="0" w:tplc="E370060C">
      <w:start w:val="1"/>
      <w:numFmt w:val="decimal"/>
      <w:lvlText w:val="%1)"/>
      <w:lvlJc w:val="left"/>
      <w:pPr>
        <w:ind w:left="1826" w:hanging="975"/>
      </w:pPr>
    </w:lvl>
    <w:lvl w:ilvl="1" w:tplc="4B5EA852">
      <w:start w:val="1"/>
      <w:numFmt w:val="lowerLetter"/>
      <w:lvlText w:val="%2."/>
      <w:lvlJc w:val="left"/>
      <w:pPr>
        <w:ind w:left="1788" w:hanging="360"/>
      </w:pPr>
    </w:lvl>
    <w:lvl w:ilvl="2" w:tplc="0504A706">
      <w:start w:val="1"/>
      <w:numFmt w:val="lowerRoman"/>
      <w:lvlText w:val="%3."/>
      <w:lvlJc w:val="right"/>
      <w:pPr>
        <w:ind w:left="2508" w:hanging="180"/>
      </w:pPr>
    </w:lvl>
    <w:lvl w:ilvl="3" w:tplc="2B1C4046">
      <w:start w:val="1"/>
      <w:numFmt w:val="decimal"/>
      <w:lvlText w:val="%4."/>
      <w:lvlJc w:val="left"/>
      <w:pPr>
        <w:ind w:left="3228" w:hanging="360"/>
      </w:pPr>
    </w:lvl>
    <w:lvl w:ilvl="4" w:tplc="2F2AAA2E">
      <w:start w:val="1"/>
      <w:numFmt w:val="lowerLetter"/>
      <w:lvlText w:val="%5."/>
      <w:lvlJc w:val="left"/>
      <w:pPr>
        <w:ind w:left="3948" w:hanging="360"/>
      </w:pPr>
    </w:lvl>
    <w:lvl w:ilvl="5" w:tplc="57886DC0">
      <w:start w:val="1"/>
      <w:numFmt w:val="lowerRoman"/>
      <w:lvlText w:val="%6."/>
      <w:lvlJc w:val="right"/>
      <w:pPr>
        <w:ind w:left="4668" w:hanging="180"/>
      </w:pPr>
    </w:lvl>
    <w:lvl w:ilvl="6" w:tplc="E8E68578">
      <w:start w:val="1"/>
      <w:numFmt w:val="decimal"/>
      <w:lvlText w:val="%7."/>
      <w:lvlJc w:val="left"/>
      <w:pPr>
        <w:ind w:left="5388" w:hanging="360"/>
      </w:pPr>
    </w:lvl>
    <w:lvl w:ilvl="7" w:tplc="B2423ABA">
      <w:start w:val="1"/>
      <w:numFmt w:val="lowerLetter"/>
      <w:lvlText w:val="%8."/>
      <w:lvlJc w:val="left"/>
      <w:pPr>
        <w:ind w:left="6108" w:hanging="360"/>
      </w:pPr>
    </w:lvl>
    <w:lvl w:ilvl="8" w:tplc="7ADA6724">
      <w:start w:val="1"/>
      <w:numFmt w:val="lowerRoman"/>
      <w:lvlText w:val="%9."/>
      <w:lvlJc w:val="right"/>
      <w:pPr>
        <w:ind w:left="6828" w:hanging="180"/>
      </w:pPr>
    </w:lvl>
  </w:abstractNum>
  <w:abstractNum w:abstractNumId="20" w15:restartNumberingAfterBreak="0">
    <w:nsid w:val="4E8B77AE"/>
    <w:multiLevelType w:val="hybridMultilevel"/>
    <w:tmpl w:val="24260D60"/>
    <w:lvl w:ilvl="0" w:tplc="A04E5516">
      <w:start w:val="1"/>
      <w:numFmt w:val="decimal"/>
      <w:lvlText w:val="%1."/>
      <w:lvlJc w:val="left"/>
      <w:pPr>
        <w:ind w:left="1069" w:hanging="360"/>
      </w:pPr>
      <w:rPr>
        <w:rFonts w:ascii="Times New Roman" w:eastAsia="Calibri" w:hAnsi="Times New Roman" w:cs="Times New Roman"/>
      </w:rPr>
    </w:lvl>
    <w:lvl w:ilvl="1" w:tplc="BA82A72C">
      <w:start w:val="1"/>
      <w:numFmt w:val="lowerLetter"/>
      <w:lvlText w:val="%2."/>
      <w:lvlJc w:val="left"/>
      <w:pPr>
        <w:ind w:left="1789" w:hanging="360"/>
      </w:pPr>
    </w:lvl>
    <w:lvl w:ilvl="2" w:tplc="CBF2AE4A">
      <w:start w:val="1"/>
      <w:numFmt w:val="lowerRoman"/>
      <w:lvlText w:val="%3."/>
      <w:lvlJc w:val="right"/>
      <w:pPr>
        <w:ind w:left="2509" w:hanging="180"/>
      </w:pPr>
    </w:lvl>
    <w:lvl w:ilvl="3" w:tplc="B82C0608">
      <w:start w:val="1"/>
      <w:numFmt w:val="decimal"/>
      <w:lvlText w:val="%4."/>
      <w:lvlJc w:val="left"/>
      <w:pPr>
        <w:ind w:left="3229" w:hanging="360"/>
      </w:pPr>
    </w:lvl>
    <w:lvl w:ilvl="4" w:tplc="AA72454A">
      <w:start w:val="1"/>
      <w:numFmt w:val="lowerLetter"/>
      <w:lvlText w:val="%5."/>
      <w:lvlJc w:val="left"/>
      <w:pPr>
        <w:ind w:left="3949" w:hanging="360"/>
      </w:pPr>
    </w:lvl>
    <w:lvl w:ilvl="5" w:tplc="BA90A852">
      <w:start w:val="1"/>
      <w:numFmt w:val="lowerRoman"/>
      <w:lvlText w:val="%6."/>
      <w:lvlJc w:val="right"/>
      <w:pPr>
        <w:ind w:left="4669" w:hanging="180"/>
      </w:pPr>
    </w:lvl>
    <w:lvl w:ilvl="6" w:tplc="F0465FBE">
      <w:start w:val="1"/>
      <w:numFmt w:val="decimal"/>
      <w:lvlText w:val="%7."/>
      <w:lvlJc w:val="left"/>
      <w:pPr>
        <w:ind w:left="5389" w:hanging="360"/>
      </w:pPr>
    </w:lvl>
    <w:lvl w:ilvl="7" w:tplc="824E73A4">
      <w:start w:val="1"/>
      <w:numFmt w:val="lowerLetter"/>
      <w:lvlText w:val="%8."/>
      <w:lvlJc w:val="left"/>
      <w:pPr>
        <w:ind w:left="6109" w:hanging="360"/>
      </w:pPr>
    </w:lvl>
    <w:lvl w:ilvl="8" w:tplc="D1FAE068">
      <w:start w:val="1"/>
      <w:numFmt w:val="lowerRoman"/>
      <w:lvlText w:val="%9."/>
      <w:lvlJc w:val="right"/>
      <w:pPr>
        <w:ind w:left="6829" w:hanging="180"/>
      </w:pPr>
    </w:lvl>
  </w:abstractNum>
  <w:abstractNum w:abstractNumId="21" w15:restartNumberingAfterBreak="0">
    <w:nsid w:val="60DA5E32"/>
    <w:multiLevelType w:val="hybridMultilevel"/>
    <w:tmpl w:val="E6B06DCE"/>
    <w:lvl w:ilvl="0" w:tplc="EAFEA98A">
      <w:start w:val="1"/>
      <w:numFmt w:val="decimal"/>
      <w:lvlText w:val="%1."/>
      <w:lvlJc w:val="left"/>
      <w:pPr>
        <w:ind w:left="1065" w:hanging="360"/>
      </w:pPr>
    </w:lvl>
    <w:lvl w:ilvl="1" w:tplc="8496DA40">
      <w:start w:val="1"/>
      <w:numFmt w:val="lowerLetter"/>
      <w:lvlText w:val="%2."/>
      <w:lvlJc w:val="left"/>
      <w:pPr>
        <w:ind w:left="1785" w:hanging="360"/>
      </w:pPr>
    </w:lvl>
    <w:lvl w:ilvl="2" w:tplc="73E80C90">
      <w:start w:val="1"/>
      <w:numFmt w:val="lowerRoman"/>
      <w:lvlText w:val="%3."/>
      <w:lvlJc w:val="right"/>
      <w:pPr>
        <w:ind w:left="2505" w:hanging="180"/>
      </w:pPr>
    </w:lvl>
    <w:lvl w:ilvl="3" w:tplc="76CABD58">
      <w:start w:val="1"/>
      <w:numFmt w:val="decimal"/>
      <w:lvlText w:val="%4."/>
      <w:lvlJc w:val="left"/>
      <w:pPr>
        <w:ind w:left="3225" w:hanging="360"/>
      </w:pPr>
    </w:lvl>
    <w:lvl w:ilvl="4" w:tplc="919A6A72">
      <w:start w:val="1"/>
      <w:numFmt w:val="lowerLetter"/>
      <w:lvlText w:val="%5."/>
      <w:lvlJc w:val="left"/>
      <w:pPr>
        <w:ind w:left="3945" w:hanging="360"/>
      </w:pPr>
    </w:lvl>
    <w:lvl w:ilvl="5" w:tplc="2A80FA8A">
      <w:start w:val="1"/>
      <w:numFmt w:val="lowerRoman"/>
      <w:lvlText w:val="%6."/>
      <w:lvlJc w:val="right"/>
      <w:pPr>
        <w:ind w:left="4665" w:hanging="180"/>
      </w:pPr>
    </w:lvl>
    <w:lvl w:ilvl="6" w:tplc="4094C316">
      <w:start w:val="1"/>
      <w:numFmt w:val="decimal"/>
      <w:lvlText w:val="%7."/>
      <w:lvlJc w:val="left"/>
      <w:pPr>
        <w:ind w:left="5385" w:hanging="360"/>
      </w:pPr>
    </w:lvl>
    <w:lvl w:ilvl="7" w:tplc="D4AEAD9E">
      <w:start w:val="1"/>
      <w:numFmt w:val="lowerLetter"/>
      <w:lvlText w:val="%8."/>
      <w:lvlJc w:val="left"/>
      <w:pPr>
        <w:ind w:left="6105" w:hanging="360"/>
      </w:pPr>
    </w:lvl>
    <w:lvl w:ilvl="8" w:tplc="0D2A705C">
      <w:start w:val="1"/>
      <w:numFmt w:val="lowerRoman"/>
      <w:lvlText w:val="%9."/>
      <w:lvlJc w:val="right"/>
      <w:pPr>
        <w:ind w:left="6825" w:hanging="180"/>
      </w:pPr>
    </w:lvl>
  </w:abstractNum>
  <w:abstractNum w:abstractNumId="22" w15:restartNumberingAfterBreak="0">
    <w:nsid w:val="62B17497"/>
    <w:multiLevelType w:val="hybridMultilevel"/>
    <w:tmpl w:val="0CB26EA0"/>
    <w:lvl w:ilvl="0" w:tplc="90F477C2">
      <w:start w:val="1"/>
      <w:numFmt w:val="decimal"/>
      <w:lvlText w:val="%1."/>
      <w:lvlJc w:val="left"/>
      <w:pPr>
        <w:ind w:left="1069" w:hanging="360"/>
      </w:pPr>
    </w:lvl>
    <w:lvl w:ilvl="1" w:tplc="BBD691EE">
      <w:start w:val="1"/>
      <w:numFmt w:val="lowerLetter"/>
      <w:lvlText w:val="%2."/>
      <w:lvlJc w:val="left"/>
      <w:pPr>
        <w:ind w:left="1789" w:hanging="360"/>
      </w:pPr>
    </w:lvl>
    <w:lvl w:ilvl="2" w:tplc="0434A04C">
      <w:start w:val="1"/>
      <w:numFmt w:val="lowerRoman"/>
      <w:lvlText w:val="%3."/>
      <w:lvlJc w:val="right"/>
      <w:pPr>
        <w:ind w:left="2509" w:hanging="180"/>
      </w:pPr>
    </w:lvl>
    <w:lvl w:ilvl="3" w:tplc="1D583660">
      <w:start w:val="1"/>
      <w:numFmt w:val="decimal"/>
      <w:lvlText w:val="%4."/>
      <w:lvlJc w:val="left"/>
      <w:pPr>
        <w:ind w:left="3229" w:hanging="360"/>
      </w:pPr>
    </w:lvl>
    <w:lvl w:ilvl="4" w:tplc="7898E9E4">
      <w:start w:val="1"/>
      <w:numFmt w:val="lowerLetter"/>
      <w:lvlText w:val="%5."/>
      <w:lvlJc w:val="left"/>
      <w:pPr>
        <w:ind w:left="3949" w:hanging="360"/>
      </w:pPr>
    </w:lvl>
    <w:lvl w:ilvl="5" w:tplc="6BA07304">
      <w:start w:val="1"/>
      <w:numFmt w:val="lowerRoman"/>
      <w:lvlText w:val="%6."/>
      <w:lvlJc w:val="right"/>
      <w:pPr>
        <w:ind w:left="4669" w:hanging="180"/>
      </w:pPr>
    </w:lvl>
    <w:lvl w:ilvl="6" w:tplc="E9F60CBC">
      <w:start w:val="1"/>
      <w:numFmt w:val="decimal"/>
      <w:lvlText w:val="%7."/>
      <w:lvlJc w:val="left"/>
      <w:pPr>
        <w:ind w:left="5389" w:hanging="360"/>
      </w:pPr>
    </w:lvl>
    <w:lvl w:ilvl="7" w:tplc="C750D0CA">
      <w:start w:val="1"/>
      <w:numFmt w:val="lowerLetter"/>
      <w:lvlText w:val="%8."/>
      <w:lvlJc w:val="left"/>
      <w:pPr>
        <w:ind w:left="6109" w:hanging="360"/>
      </w:pPr>
    </w:lvl>
    <w:lvl w:ilvl="8" w:tplc="63343C1E">
      <w:start w:val="1"/>
      <w:numFmt w:val="lowerRoman"/>
      <w:lvlText w:val="%9."/>
      <w:lvlJc w:val="right"/>
      <w:pPr>
        <w:ind w:left="6829" w:hanging="180"/>
      </w:pPr>
    </w:lvl>
  </w:abstractNum>
  <w:abstractNum w:abstractNumId="23" w15:restartNumberingAfterBreak="0">
    <w:nsid w:val="6F027568"/>
    <w:multiLevelType w:val="hybridMultilevel"/>
    <w:tmpl w:val="C8AAD4B2"/>
    <w:lvl w:ilvl="0" w:tplc="51328430">
      <w:start w:val="1"/>
      <w:numFmt w:val="decimal"/>
      <w:lvlText w:val="%1."/>
      <w:lvlJc w:val="left"/>
      <w:pPr>
        <w:ind w:left="1069" w:hanging="360"/>
      </w:pPr>
    </w:lvl>
    <w:lvl w:ilvl="1" w:tplc="84120E62">
      <w:start w:val="1"/>
      <w:numFmt w:val="lowerLetter"/>
      <w:lvlText w:val="%2."/>
      <w:lvlJc w:val="left"/>
      <w:pPr>
        <w:ind w:left="1789" w:hanging="360"/>
      </w:pPr>
    </w:lvl>
    <w:lvl w:ilvl="2" w:tplc="079C2FCC">
      <w:start w:val="1"/>
      <w:numFmt w:val="lowerRoman"/>
      <w:lvlText w:val="%3."/>
      <w:lvlJc w:val="right"/>
      <w:pPr>
        <w:ind w:left="2509" w:hanging="180"/>
      </w:pPr>
    </w:lvl>
    <w:lvl w:ilvl="3" w:tplc="152C7A64">
      <w:start w:val="1"/>
      <w:numFmt w:val="decimal"/>
      <w:lvlText w:val="%4."/>
      <w:lvlJc w:val="left"/>
      <w:pPr>
        <w:ind w:left="3229" w:hanging="360"/>
      </w:pPr>
    </w:lvl>
    <w:lvl w:ilvl="4" w:tplc="C3A8A778">
      <w:start w:val="1"/>
      <w:numFmt w:val="lowerLetter"/>
      <w:lvlText w:val="%5."/>
      <w:lvlJc w:val="left"/>
      <w:pPr>
        <w:ind w:left="3949" w:hanging="360"/>
      </w:pPr>
    </w:lvl>
    <w:lvl w:ilvl="5" w:tplc="2D1AC13A">
      <w:start w:val="1"/>
      <w:numFmt w:val="lowerRoman"/>
      <w:lvlText w:val="%6."/>
      <w:lvlJc w:val="right"/>
      <w:pPr>
        <w:ind w:left="4669" w:hanging="180"/>
      </w:pPr>
    </w:lvl>
    <w:lvl w:ilvl="6" w:tplc="5630C236">
      <w:start w:val="1"/>
      <w:numFmt w:val="decimal"/>
      <w:lvlText w:val="%7."/>
      <w:lvlJc w:val="left"/>
      <w:pPr>
        <w:ind w:left="5389" w:hanging="360"/>
      </w:pPr>
    </w:lvl>
    <w:lvl w:ilvl="7" w:tplc="2ED2A8B8">
      <w:start w:val="1"/>
      <w:numFmt w:val="lowerLetter"/>
      <w:lvlText w:val="%8."/>
      <w:lvlJc w:val="left"/>
      <w:pPr>
        <w:ind w:left="6109" w:hanging="360"/>
      </w:pPr>
    </w:lvl>
    <w:lvl w:ilvl="8" w:tplc="09C2B636">
      <w:start w:val="1"/>
      <w:numFmt w:val="lowerRoman"/>
      <w:lvlText w:val="%9."/>
      <w:lvlJc w:val="right"/>
      <w:pPr>
        <w:ind w:left="6829" w:hanging="180"/>
      </w:pPr>
    </w:lvl>
  </w:abstractNum>
  <w:abstractNum w:abstractNumId="24" w15:restartNumberingAfterBreak="0">
    <w:nsid w:val="71A76139"/>
    <w:multiLevelType w:val="hybridMultilevel"/>
    <w:tmpl w:val="43603422"/>
    <w:lvl w:ilvl="0" w:tplc="49165EF8">
      <w:start w:val="1"/>
      <w:numFmt w:val="decimal"/>
      <w:lvlText w:val="%1)"/>
      <w:lvlJc w:val="left"/>
      <w:pPr>
        <w:ind w:left="1069" w:hanging="360"/>
      </w:pPr>
    </w:lvl>
    <w:lvl w:ilvl="1" w:tplc="E088412E">
      <w:start w:val="1"/>
      <w:numFmt w:val="lowerLetter"/>
      <w:lvlText w:val="%2."/>
      <w:lvlJc w:val="left"/>
      <w:pPr>
        <w:ind w:left="1789" w:hanging="360"/>
      </w:pPr>
    </w:lvl>
    <w:lvl w:ilvl="2" w:tplc="F3022B54">
      <w:start w:val="1"/>
      <w:numFmt w:val="lowerRoman"/>
      <w:lvlText w:val="%3."/>
      <w:lvlJc w:val="right"/>
      <w:pPr>
        <w:ind w:left="2509" w:hanging="180"/>
      </w:pPr>
    </w:lvl>
    <w:lvl w:ilvl="3" w:tplc="960A75E8">
      <w:start w:val="1"/>
      <w:numFmt w:val="decimal"/>
      <w:lvlText w:val="%4."/>
      <w:lvlJc w:val="left"/>
      <w:pPr>
        <w:ind w:left="3229" w:hanging="360"/>
      </w:pPr>
    </w:lvl>
    <w:lvl w:ilvl="4" w:tplc="9F6A14EA">
      <w:start w:val="1"/>
      <w:numFmt w:val="lowerLetter"/>
      <w:lvlText w:val="%5."/>
      <w:lvlJc w:val="left"/>
      <w:pPr>
        <w:ind w:left="3949" w:hanging="360"/>
      </w:pPr>
    </w:lvl>
    <w:lvl w:ilvl="5" w:tplc="A0D8F3B8">
      <w:start w:val="1"/>
      <w:numFmt w:val="lowerRoman"/>
      <w:lvlText w:val="%6."/>
      <w:lvlJc w:val="right"/>
      <w:pPr>
        <w:ind w:left="4669" w:hanging="180"/>
      </w:pPr>
    </w:lvl>
    <w:lvl w:ilvl="6" w:tplc="80F604A6">
      <w:start w:val="1"/>
      <w:numFmt w:val="decimal"/>
      <w:lvlText w:val="%7."/>
      <w:lvlJc w:val="left"/>
      <w:pPr>
        <w:ind w:left="5389" w:hanging="360"/>
      </w:pPr>
    </w:lvl>
    <w:lvl w:ilvl="7" w:tplc="B60A3E26">
      <w:start w:val="1"/>
      <w:numFmt w:val="lowerLetter"/>
      <w:lvlText w:val="%8."/>
      <w:lvlJc w:val="left"/>
      <w:pPr>
        <w:ind w:left="6109" w:hanging="360"/>
      </w:pPr>
    </w:lvl>
    <w:lvl w:ilvl="8" w:tplc="8D5EE248">
      <w:start w:val="1"/>
      <w:numFmt w:val="lowerRoman"/>
      <w:lvlText w:val="%9."/>
      <w:lvlJc w:val="right"/>
      <w:pPr>
        <w:ind w:left="6829" w:hanging="180"/>
      </w:pPr>
    </w:lvl>
  </w:abstractNum>
  <w:abstractNum w:abstractNumId="25" w15:restartNumberingAfterBreak="0">
    <w:nsid w:val="74BE6B7B"/>
    <w:multiLevelType w:val="hybridMultilevel"/>
    <w:tmpl w:val="281AF550"/>
    <w:lvl w:ilvl="0" w:tplc="911E9BE6">
      <w:start w:val="1"/>
      <w:numFmt w:val="decimal"/>
      <w:lvlText w:val="%1."/>
      <w:lvlJc w:val="left"/>
      <w:pPr>
        <w:ind w:left="1418" w:hanging="360"/>
      </w:pPr>
    </w:lvl>
    <w:lvl w:ilvl="1" w:tplc="73142A36">
      <w:start w:val="1"/>
      <w:numFmt w:val="lowerLetter"/>
      <w:lvlText w:val="%2."/>
      <w:lvlJc w:val="left"/>
      <w:pPr>
        <w:ind w:left="2138" w:hanging="360"/>
      </w:pPr>
    </w:lvl>
    <w:lvl w:ilvl="2" w:tplc="BB6819F8">
      <w:start w:val="1"/>
      <w:numFmt w:val="lowerRoman"/>
      <w:lvlText w:val="%3."/>
      <w:lvlJc w:val="right"/>
      <w:pPr>
        <w:ind w:left="2858" w:hanging="180"/>
      </w:pPr>
    </w:lvl>
    <w:lvl w:ilvl="3" w:tplc="C846B420">
      <w:start w:val="1"/>
      <w:numFmt w:val="decimal"/>
      <w:lvlText w:val="%4."/>
      <w:lvlJc w:val="left"/>
      <w:pPr>
        <w:ind w:left="3578" w:hanging="360"/>
      </w:pPr>
    </w:lvl>
    <w:lvl w:ilvl="4" w:tplc="D99CDC78">
      <w:start w:val="1"/>
      <w:numFmt w:val="lowerLetter"/>
      <w:lvlText w:val="%5."/>
      <w:lvlJc w:val="left"/>
      <w:pPr>
        <w:ind w:left="4298" w:hanging="360"/>
      </w:pPr>
    </w:lvl>
    <w:lvl w:ilvl="5" w:tplc="7EAC0B66">
      <w:start w:val="1"/>
      <w:numFmt w:val="lowerRoman"/>
      <w:lvlText w:val="%6."/>
      <w:lvlJc w:val="right"/>
      <w:pPr>
        <w:ind w:left="5018" w:hanging="180"/>
      </w:pPr>
    </w:lvl>
    <w:lvl w:ilvl="6" w:tplc="B37E7612">
      <w:start w:val="1"/>
      <w:numFmt w:val="decimal"/>
      <w:lvlText w:val="%7."/>
      <w:lvlJc w:val="left"/>
      <w:pPr>
        <w:ind w:left="5738" w:hanging="360"/>
      </w:pPr>
    </w:lvl>
    <w:lvl w:ilvl="7" w:tplc="0C2A2766">
      <w:start w:val="1"/>
      <w:numFmt w:val="lowerLetter"/>
      <w:lvlText w:val="%8."/>
      <w:lvlJc w:val="left"/>
      <w:pPr>
        <w:ind w:left="6458" w:hanging="360"/>
      </w:pPr>
    </w:lvl>
    <w:lvl w:ilvl="8" w:tplc="DF14B812">
      <w:start w:val="1"/>
      <w:numFmt w:val="lowerRoman"/>
      <w:lvlText w:val="%9."/>
      <w:lvlJc w:val="right"/>
      <w:pPr>
        <w:ind w:left="7178" w:hanging="180"/>
      </w:pPr>
    </w:lvl>
  </w:abstractNum>
  <w:abstractNum w:abstractNumId="26" w15:restartNumberingAfterBreak="0">
    <w:nsid w:val="7B733BE6"/>
    <w:multiLevelType w:val="hybridMultilevel"/>
    <w:tmpl w:val="432E9418"/>
    <w:lvl w:ilvl="0" w:tplc="FD9A8CAA">
      <w:start w:val="1"/>
      <w:numFmt w:val="decimal"/>
      <w:lvlText w:val="%1."/>
      <w:lvlJc w:val="left"/>
      <w:pPr>
        <w:ind w:left="1069" w:hanging="360"/>
      </w:pPr>
    </w:lvl>
    <w:lvl w:ilvl="1" w:tplc="FA8A316A">
      <w:start w:val="1"/>
      <w:numFmt w:val="lowerLetter"/>
      <w:lvlText w:val="%2."/>
      <w:lvlJc w:val="left"/>
      <w:pPr>
        <w:ind w:left="1789" w:hanging="360"/>
      </w:pPr>
    </w:lvl>
    <w:lvl w:ilvl="2" w:tplc="3F12151E">
      <w:start w:val="1"/>
      <w:numFmt w:val="lowerRoman"/>
      <w:lvlText w:val="%3."/>
      <w:lvlJc w:val="right"/>
      <w:pPr>
        <w:ind w:left="2509" w:hanging="180"/>
      </w:pPr>
    </w:lvl>
    <w:lvl w:ilvl="3" w:tplc="8312DE9C">
      <w:start w:val="1"/>
      <w:numFmt w:val="decimal"/>
      <w:lvlText w:val="%4."/>
      <w:lvlJc w:val="left"/>
      <w:pPr>
        <w:ind w:left="3229" w:hanging="360"/>
      </w:pPr>
    </w:lvl>
    <w:lvl w:ilvl="4" w:tplc="86609DE4">
      <w:start w:val="1"/>
      <w:numFmt w:val="lowerLetter"/>
      <w:lvlText w:val="%5."/>
      <w:lvlJc w:val="left"/>
      <w:pPr>
        <w:ind w:left="3949" w:hanging="360"/>
      </w:pPr>
    </w:lvl>
    <w:lvl w:ilvl="5" w:tplc="E14CB50A">
      <w:start w:val="1"/>
      <w:numFmt w:val="lowerRoman"/>
      <w:lvlText w:val="%6."/>
      <w:lvlJc w:val="right"/>
      <w:pPr>
        <w:ind w:left="4669" w:hanging="180"/>
      </w:pPr>
    </w:lvl>
    <w:lvl w:ilvl="6" w:tplc="F4089D00">
      <w:start w:val="1"/>
      <w:numFmt w:val="decimal"/>
      <w:lvlText w:val="%7."/>
      <w:lvlJc w:val="left"/>
      <w:pPr>
        <w:ind w:left="5389" w:hanging="360"/>
      </w:pPr>
    </w:lvl>
    <w:lvl w:ilvl="7" w:tplc="945030CC">
      <w:start w:val="1"/>
      <w:numFmt w:val="lowerLetter"/>
      <w:lvlText w:val="%8."/>
      <w:lvlJc w:val="left"/>
      <w:pPr>
        <w:ind w:left="6109" w:hanging="360"/>
      </w:pPr>
    </w:lvl>
    <w:lvl w:ilvl="8" w:tplc="7C22AA6C">
      <w:start w:val="1"/>
      <w:numFmt w:val="lowerRoman"/>
      <w:lvlText w:val="%9."/>
      <w:lvlJc w:val="right"/>
      <w:pPr>
        <w:ind w:left="6829" w:hanging="180"/>
      </w:pPr>
    </w:lvl>
  </w:abstractNum>
  <w:abstractNum w:abstractNumId="27" w15:restartNumberingAfterBreak="0">
    <w:nsid w:val="7E0E2E81"/>
    <w:multiLevelType w:val="hybridMultilevel"/>
    <w:tmpl w:val="8676042C"/>
    <w:lvl w:ilvl="0" w:tplc="6640150E">
      <w:start w:val="1"/>
      <w:numFmt w:val="decimal"/>
      <w:lvlText w:val="%1."/>
      <w:lvlJc w:val="left"/>
      <w:pPr>
        <w:ind w:left="720" w:hanging="360"/>
      </w:pPr>
    </w:lvl>
    <w:lvl w:ilvl="1" w:tplc="115E8336">
      <w:start w:val="1"/>
      <w:numFmt w:val="lowerLetter"/>
      <w:lvlText w:val="%2."/>
      <w:lvlJc w:val="left"/>
      <w:pPr>
        <w:ind w:left="1440" w:hanging="360"/>
      </w:pPr>
    </w:lvl>
    <w:lvl w:ilvl="2" w:tplc="41AAA362">
      <w:start w:val="1"/>
      <w:numFmt w:val="lowerRoman"/>
      <w:lvlText w:val="%3."/>
      <w:lvlJc w:val="right"/>
      <w:pPr>
        <w:ind w:left="2160" w:hanging="180"/>
      </w:pPr>
    </w:lvl>
    <w:lvl w:ilvl="3" w:tplc="8632A2D4">
      <w:start w:val="1"/>
      <w:numFmt w:val="decimal"/>
      <w:lvlText w:val="%4."/>
      <w:lvlJc w:val="left"/>
      <w:pPr>
        <w:ind w:left="2880" w:hanging="360"/>
      </w:pPr>
    </w:lvl>
    <w:lvl w:ilvl="4" w:tplc="08922BA4">
      <w:start w:val="1"/>
      <w:numFmt w:val="lowerLetter"/>
      <w:lvlText w:val="%5."/>
      <w:lvlJc w:val="left"/>
      <w:pPr>
        <w:ind w:left="3600" w:hanging="360"/>
      </w:pPr>
    </w:lvl>
    <w:lvl w:ilvl="5" w:tplc="954CFB22">
      <w:start w:val="1"/>
      <w:numFmt w:val="lowerRoman"/>
      <w:lvlText w:val="%6."/>
      <w:lvlJc w:val="right"/>
      <w:pPr>
        <w:ind w:left="4320" w:hanging="180"/>
      </w:pPr>
    </w:lvl>
    <w:lvl w:ilvl="6" w:tplc="D416EE28">
      <w:start w:val="1"/>
      <w:numFmt w:val="decimal"/>
      <w:lvlText w:val="%7."/>
      <w:lvlJc w:val="left"/>
      <w:pPr>
        <w:ind w:left="5040" w:hanging="360"/>
      </w:pPr>
    </w:lvl>
    <w:lvl w:ilvl="7" w:tplc="2436914C">
      <w:start w:val="1"/>
      <w:numFmt w:val="lowerLetter"/>
      <w:lvlText w:val="%8."/>
      <w:lvlJc w:val="left"/>
      <w:pPr>
        <w:ind w:left="5760" w:hanging="360"/>
      </w:pPr>
    </w:lvl>
    <w:lvl w:ilvl="8" w:tplc="A4FE0E94">
      <w:start w:val="1"/>
      <w:numFmt w:val="lowerRoman"/>
      <w:lvlText w:val="%9."/>
      <w:lvlJc w:val="right"/>
      <w:pPr>
        <w:ind w:left="6480" w:hanging="180"/>
      </w:pPr>
    </w:lvl>
  </w:abstractNum>
  <w:abstractNum w:abstractNumId="28" w15:restartNumberingAfterBreak="0">
    <w:nsid w:val="7E28264E"/>
    <w:multiLevelType w:val="hybridMultilevel"/>
    <w:tmpl w:val="6C9ACC64"/>
    <w:lvl w:ilvl="0" w:tplc="BEAA0A58">
      <w:start w:val="1"/>
      <w:numFmt w:val="decimal"/>
      <w:lvlText w:val="%1)"/>
      <w:lvlJc w:val="left"/>
      <w:pPr>
        <w:ind w:left="1065" w:hanging="360"/>
      </w:pPr>
    </w:lvl>
    <w:lvl w:ilvl="1" w:tplc="0CF43336">
      <w:start w:val="1"/>
      <w:numFmt w:val="lowerLetter"/>
      <w:lvlText w:val="%2."/>
      <w:lvlJc w:val="left"/>
      <w:pPr>
        <w:ind w:left="1785" w:hanging="360"/>
      </w:pPr>
    </w:lvl>
    <w:lvl w:ilvl="2" w:tplc="E788DBFE">
      <w:start w:val="1"/>
      <w:numFmt w:val="lowerRoman"/>
      <w:lvlText w:val="%3."/>
      <w:lvlJc w:val="right"/>
      <w:pPr>
        <w:ind w:left="2505" w:hanging="180"/>
      </w:pPr>
    </w:lvl>
    <w:lvl w:ilvl="3" w:tplc="1AA8056E">
      <w:start w:val="1"/>
      <w:numFmt w:val="decimal"/>
      <w:lvlText w:val="%4."/>
      <w:lvlJc w:val="left"/>
      <w:pPr>
        <w:ind w:left="3225" w:hanging="360"/>
      </w:pPr>
    </w:lvl>
    <w:lvl w:ilvl="4" w:tplc="A1C22AC8">
      <w:start w:val="1"/>
      <w:numFmt w:val="lowerLetter"/>
      <w:lvlText w:val="%5."/>
      <w:lvlJc w:val="left"/>
      <w:pPr>
        <w:ind w:left="3945" w:hanging="360"/>
      </w:pPr>
    </w:lvl>
    <w:lvl w:ilvl="5" w:tplc="BF6E92D6">
      <w:start w:val="1"/>
      <w:numFmt w:val="lowerRoman"/>
      <w:lvlText w:val="%6."/>
      <w:lvlJc w:val="right"/>
      <w:pPr>
        <w:ind w:left="4665" w:hanging="180"/>
      </w:pPr>
    </w:lvl>
    <w:lvl w:ilvl="6" w:tplc="C5BA0CE2">
      <w:start w:val="1"/>
      <w:numFmt w:val="decimal"/>
      <w:lvlText w:val="%7."/>
      <w:lvlJc w:val="left"/>
      <w:pPr>
        <w:ind w:left="5385" w:hanging="360"/>
      </w:pPr>
    </w:lvl>
    <w:lvl w:ilvl="7" w:tplc="B3540F8A">
      <w:start w:val="1"/>
      <w:numFmt w:val="lowerLetter"/>
      <w:lvlText w:val="%8."/>
      <w:lvlJc w:val="left"/>
      <w:pPr>
        <w:ind w:left="6105" w:hanging="360"/>
      </w:pPr>
    </w:lvl>
    <w:lvl w:ilvl="8" w:tplc="7E980D9C">
      <w:start w:val="1"/>
      <w:numFmt w:val="lowerRoman"/>
      <w:lvlText w:val="%9."/>
      <w:lvlJc w:val="right"/>
      <w:pPr>
        <w:ind w:left="6825" w:hanging="180"/>
      </w:pPr>
    </w:lvl>
  </w:abstractNum>
  <w:abstractNum w:abstractNumId="29" w15:restartNumberingAfterBreak="0">
    <w:nsid w:val="7E3F0B9A"/>
    <w:multiLevelType w:val="multilevel"/>
    <w:tmpl w:val="7D9C534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254484487">
    <w:abstractNumId w:val="1"/>
  </w:num>
  <w:num w:numId="2" w16cid:durableId="839613804">
    <w:abstractNumId w:val="12"/>
  </w:num>
  <w:num w:numId="3" w16cid:durableId="979842769">
    <w:abstractNumId w:val="17"/>
  </w:num>
  <w:num w:numId="4" w16cid:durableId="1609657187">
    <w:abstractNumId w:val="3"/>
  </w:num>
  <w:num w:numId="5" w16cid:durableId="1510606948">
    <w:abstractNumId w:val="16"/>
  </w:num>
  <w:num w:numId="6" w16cid:durableId="278756410">
    <w:abstractNumId w:val="27"/>
  </w:num>
  <w:num w:numId="7" w16cid:durableId="1153713349">
    <w:abstractNumId w:val="8"/>
  </w:num>
  <w:num w:numId="8" w16cid:durableId="239288766">
    <w:abstractNumId w:val="22"/>
  </w:num>
  <w:num w:numId="9" w16cid:durableId="1303197080">
    <w:abstractNumId w:val="5"/>
  </w:num>
  <w:num w:numId="10" w16cid:durableId="1796413699">
    <w:abstractNumId w:val="14"/>
  </w:num>
  <w:num w:numId="11" w16cid:durableId="1834832448">
    <w:abstractNumId w:val="29"/>
  </w:num>
  <w:num w:numId="12" w16cid:durableId="1698045745">
    <w:abstractNumId w:val="20"/>
  </w:num>
  <w:num w:numId="13" w16cid:durableId="900822897">
    <w:abstractNumId w:val="2"/>
  </w:num>
  <w:num w:numId="14" w16cid:durableId="1129710097">
    <w:abstractNumId w:val="13"/>
  </w:num>
  <w:num w:numId="15" w16cid:durableId="95057734">
    <w:abstractNumId w:val="24"/>
  </w:num>
  <w:num w:numId="16" w16cid:durableId="1321348426">
    <w:abstractNumId w:val="0"/>
  </w:num>
  <w:num w:numId="17" w16cid:durableId="1660578507">
    <w:abstractNumId w:val="15"/>
  </w:num>
  <w:num w:numId="18" w16cid:durableId="868252208">
    <w:abstractNumId w:val="19"/>
  </w:num>
  <w:num w:numId="19" w16cid:durableId="240528540">
    <w:abstractNumId w:val="23"/>
  </w:num>
  <w:num w:numId="20" w16cid:durableId="1817259469">
    <w:abstractNumId w:val="6"/>
  </w:num>
  <w:num w:numId="21" w16cid:durableId="83459217">
    <w:abstractNumId w:val="7"/>
  </w:num>
  <w:num w:numId="22" w16cid:durableId="488521394">
    <w:abstractNumId w:val="26"/>
  </w:num>
  <w:num w:numId="23" w16cid:durableId="1201241022">
    <w:abstractNumId w:val="4"/>
  </w:num>
  <w:num w:numId="24" w16cid:durableId="136337749">
    <w:abstractNumId w:val="21"/>
  </w:num>
  <w:num w:numId="25" w16cid:durableId="2102407349">
    <w:abstractNumId w:val="28"/>
  </w:num>
  <w:num w:numId="26" w16cid:durableId="854613160">
    <w:abstractNumId w:val="18"/>
  </w:num>
  <w:num w:numId="27" w16cid:durableId="2082408861">
    <w:abstractNumId w:val="11"/>
  </w:num>
  <w:num w:numId="28" w16cid:durableId="587077610">
    <w:abstractNumId w:val="9"/>
  </w:num>
  <w:num w:numId="29" w16cid:durableId="712966567">
    <w:abstractNumId w:val="10"/>
  </w:num>
  <w:num w:numId="30" w16cid:durableId="777974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8A9"/>
    <w:rsid w:val="007E265B"/>
    <w:rsid w:val="008808A9"/>
    <w:rsid w:val="00DD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8136C"/>
  <w15:docId w15:val="{C37311A8-1F2A-4177-89E6-D6912CCE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spacing w:after="0" w:line="240" w:lineRule="auto"/>
    </w:p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f0">
    <w:name w:val="Table Grid"/>
    <w:basedOn w:val="a1"/>
    <w:uiPriority w:val="59"/>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ind w:firstLine="720"/>
    </w:pPr>
    <w:rPr>
      <w:rFonts w:ascii="Arial" w:eastAsia="Times New Roman" w:hAnsi="Arial" w:cs="Arial"/>
      <w:lang w:eastAsia="ru-RU"/>
    </w:rPr>
  </w:style>
  <w:style w:type="character" w:customStyle="1" w:styleId="ac">
    <w:name w:val="Верхний колонтитул Знак"/>
    <w:basedOn w:val="a0"/>
    <w:link w:val="ab"/>
    <w:uiPriority w:val="99"/>
  </w:style>
  <w:style w:type="character" w:customStyle="1" w:styleId="ae">
    <w:name w:val="Нижний колонтитул Знак"/>
    <w:basedOn w:val="a0"/>
    <w:link w:val="ad"/>
    <w:uiPriority w:val="99"/>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link w:val="afa"/>
    <w:uiPriority w:val="99"/>
    <w:semiHidden/>
    <w:rPr>
      <w:rFonts w:ascii="Tahoma" w:hAnsi="Tahoma" w:cs="Tahoma"/>
      <w:sz w:val="16"/>
      <w:szCs w:val="16"/>
    </w:rPr>
  </w:style>
  <w:style w:type="table" w:customStyle="1" w:styleId="13">
    <w:name w:val="Светлая заливка1"/>
    <w:basedOn w:val="a1"/>
    <w:uiPriority w:val="60"/>
    <w:rPr>
      <w:color w:val="000000"/>
    </w:rPr>
    <w:tblPr/>
  </w:style>
  <w:style w:type="paragraph" w:customStyle="1" w:styleId="afc">
    <w:name w:val="Обычный (веб)"/>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character" w:styleId="afd">
    <w:name w:val="annotation reference"/>
    <w:uiPriority w:val="99"/>
    <w:semiHidden/>
    <w:unhideWhenUsed/>
    <w:rPr>
      <w:sz w:val="16"/>
      <w:szCs w:val="16"/>
    </w:rPr>
  </w:style>
  <w:style w:type="paragraph" w:styleId="afe">
    <w:name w:val="annotation text"/>
    <w:basedOn w:val="a"/>
    <w:link w:val="aff"/>
    <w:uiPriority w:val="99"/>
    <w:semiHidden/>
    <w:unhideWhenUsed/>
    <w:pPr>
      <w:spacing w:line="240" w:lineRule="auto"/>
    </w:pPr>
    <w:rPr>
      <w:sz w:val="20"/>
      <w:szCs w:val="20"/>
    </w:rPr>
  </w:style>
  <w:style w:type="character" w:customStyle="1" w:styleId="aff">
    <w:name w:val="Текст примечания Знак"/>
    <w:link w:val="afe"/>
    <w:uiPriority w:val="99"/>
    <w:semiHidden/>
    <w:rPr>
      <w:sz w:val="20"/>
      <w:szCs w:val="20"/>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link w:val="aff0"/>
    <w:uiPriority w:val="99"/>
    <w:semiHidden/>
    <w:rPr>
      <w:b/>
      <w:bCs/>
      <w:sz w:val="20"/>
      <w:szCs w:val="20"/>
    </w:rPr>
  </w:style>
  <w:style w:type="character" w:customStyle="1" w:styleId="130">
    <w:name w:val="Знак сноски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EABCE44225E70BB090096EC42E235AF15AEA445E400250E911DF00073B314448AA090255BEEDE73D2836Ef5f9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4111</Words>
  <Characters>23433</Characters>
  <Application>Microsoft Office Word</Application>
  <DocSecurity>0</DocSecurity>
  <Lines>195</Lines>
  <Paragraphs>54</Paragraphs>
  <ScaleCrop>false</ScaleCrop>
  <Company>Microsoft</Company>
  <LinksUpToDate>false</LinksUpToDate>
  <CharactersWithSpaces>27490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Кузина Екатерина Павловна</dc:creator>
  <cp:lastModifiedBy>Ступницкая Виктория Викторовна</cp:lastModifiedBy>
  <cp:revision>201</cp:revision>
  <dcterms:created xsi:type="dcterms:W3CDTF">2022-09-09T05:59:00Z</dcterms:created>
  <dcterms:modified xsi:type="dcterms:W3CDTF">2024-09-18T07:00:00Z</dcterms:modified>
  <cp:version>1048576</cp:version>
</cp:coreProperties>
</file>